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lang w:eastAsia="zh-CN"/>
        </w:rPr>
        <w:t>深泽</w:t>
      </w:r>
      <w:bookmarkStart w:id="17" w:name="_GoBack"/>
      <w:bookmarkEnd w:id="17"/>
      <w:r>
        <w:rPr>
          <w:rFonts w:hint="eastAsia" w:ascii="方正小标宋_GBK" w:hAnsi="Times New Roman" w:eastAsia="方正小标宋_GBK" w:cs="Times New Roman"/>
          <w:bCs/>
          <w:sz w:val="44"/>
          <w:szCs w:val="44"/>
          <w:lang w:eastAsia="zh-CN"/>
        </w:rPr>
        <w:t>县自然资源和规划局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深泽县自然资源和规划局</w:t>
      </w:r>
      <w:r>
        <w:rPr>
          <w:rFonts w:hint="eastAsia" w:ascii="Times New Roman" w:hAnsi="Times New Roman" w:eastAsia="仿宋" w:cs="Times New Roman"/>
          <w:sz w:val="32"/>
          <w:szCs w:val="32"/>
        </w:rPr>
        <w:t>2020年部门预算公开如下：</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一、部门职责及机构设置情况</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根据《深泽县自然资源和规划局职能配置、内设机构和人员编制规定》， 深泽县自然资源和规划局的主要职责是：</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一、部门职责</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推进农村集体土地确权登记发证工作，完成年度土地变更调查工作，进行不动产统一登记工作的调查研究，按照要求完成工作进度。</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提高全县节约集约用地水平，维护全县土地市场良好秩序，统筹组织城乡建设用地增减挂钩管理和未利用地调查评价及利用。</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组织各级国土资源执法监察部门，及时发现、制止违法行为。依法查处案件，开展卫片执法监督检查，协调、联络国家土地督察机构，推进国土资源基层所标准化建设。</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规范做好国土资源各类规划编制和实施，全面推行国土资源工作依法行政，推动普法工作落实，做好行政复议、行政应诉工作，推进国土资源科技的应用和推广。提高国土资源事业发展保障能力。</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9"/>
        <w:tblW w:w="97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eastAsia="zh-CN"/>
              </w:rPr>
              <w:t>深泽县自然资源和规划局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按照预算管理有关规定，目前我省部门预算的编制实行综合预算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lang w:eastAsia="zh-CN"/>
        </w:rPr>
        <w:t>深泽县自然资源和规划局及</w:t>
      </w:r>
      <w:r>
        <w:rPr>
          <w:rFonts w:ascii="Times New Roman" w:hAnsi="Times New Roman" w:eastAsia="仿宋" w:cs="Times New Roman"/>
          <w:sz w:val="32"/>
          <w:szCs w:val="32"/>
        </w:rPr>
        <w:t>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8046.07</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2331.07</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5715</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w:t>
      </w:r>
      <w:r>
        <w:rPr>
          <w:rFonts w:hint="eastAsia" w:ascii="Times New Roman" w:hAnsi="Times New Roman" w:eastAsia="仿宋" w:cs="Times New Roman"/>
          <w:sz w:val="32"/>
          <w:szCs w:val="32"/>
          <w:lang w:eastAsia="zh-CN"/>
        </w:rPr>
        <w:t>映深泽县自然资源和规划局</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8046.07</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386.42</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359.71</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26.71</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7659.65</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自然资源事务</w:t>
      </w:r>
      <w:r>
        <w:rPr>
          <w:rFonts w:hint="eastAsia" w:ascii="Times New Roman" w:hAnsi="Times New Roman" w:eastAsia="仿宋" w:cs="Times New Roman"/>
          <w:sz w:val="32"/>
          <w:szCs w:val="32"/>
          <w:lang w:val="en-US" w:eastAsia="zh-CN"/>
        </w:rPr>
        <w:t>1039.70万元，节能环保支出10.95万元，城乡社区支出5715万元，农林水支出894万元，</w:t>
      </w:r>
      <w:r>
        <w:rPr>
          <w:rFonts w:hint="eastAsia" w:ascii="Times New Roman" w:hAnsi="Times New Roman" w:eastAsia="仿宋" w:cs="Times New Roman"/>
          <w:sz w:val="32"/>
          <w:szCs w:val="32"/>
        </w:rPr>
        <w:t>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8046.07</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w:t>
      </w:r>
      <w:r>
        <w:rPr>
          <w:rFonts w:hint="eastAsia" w:ascii="Times New Roman" w:hAnsi="Times New Roman" w:eastAsia="仿宋" w:cs="Times New Roman"/>
          <w:sz w:val="32"/>
          <w:szCs w:val="32"/>
          <w:lang w:val="en-US" w:eastAsia="zh-CN"/>
        </w:rPr>
        <w:t>1059.86</w:t>
      </w:r>
      <w:r>
        <w:rPr>
          <w:rFonts w:hint="eastAsia" w:ascii="Times New Roman" w:hAnsi="Times New Roman" w:eastAsia="仿宋" w:cs="Times New Roman"/>
          <w:sz w:val="32"/>
          <w:szCs w:val="32"/>
        </w:rPr>
        <w:t>万元，其中：基本支出减少</w:t>
      </w:r>
      <w:r>
        <w:rPr>
          <w:rFonts w:hint="eastAsia" w:ascii="Times New Roman" w:hAnsi="Times New Roman" w:eastAsia="仿宋" w:cs="Times New Roman"/>
          <w:sz w:val="32"/>
          <w:szCs w:val="32"/>
          <w:lang w:val="en-US" w:eastAsia="zh-CN"/>
        </w:rPr>
        <w:t>724.79</w:t>
      </w:r>
      <w:r>
        <w:rPr>
          <w:rFonts w:hint="eastAsia" w:ascii="Times New Roman" w:hAnsi="Times New Roman" w:eastAsia="仿宋" w:cs="Times New Roman"/>
          <w:sz w:val="32"/>
          <w:szCs w:val="32"/>
        </w:rPr>
        <w:t>万元，主要是人员减少，相应减少人员经费和日常公用经费；项目支出增加</w:t>
      </w:r>
      <w:r>
        <w:rPr>
          <w:rFonts w:hint="eastAsia" w:ascii="Times New Roman" w:hAnsi="Times New Roman" w:eastAsia="仿宋" w:cs="Times New Roman"/>
          <w:sz w:val="32"/>
          <w:szCs w:val="32"/>
          <w:lang w:val="en-US" w:eastAsia="zh-CN"/>
        </w:rPr>
        <w:t>1784.65</w:t>
      </w:r>
      <w:r>
        <w:rPr>
          <w:rFonts w:hint="eastAsia" w:ascii="Times New Roman" w:hAnsi="Times New Roman" w:eastAsia="仿宋" w:cs="Times New Roman"/>
          <w:sz w:val="32"/>
          <w:szCs w:val="32"/>
        </w:rPr>
        <w:t>万元，主要是增加</w:t>
      </w:r>
      <w:r>
        <w:rPr>
          <w:rFonts w:hint="eastAsia" w:ascii="Times New Roman" w:hAnsi="Times New Roman" w:eastAsia="仿宋" w:cs="Times New Roman"/>
          <w:sz w:val="32"/>
          <w:szCs w:val="32"/>
          <w:lang w:eastAsia="zh-CN"/>
        </w:rPr>
        <w:t>农林水支出</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26.71</w:t>
      </w:r>
      <w:r>
        <w:rPr>
          <w:rFonts w:hint="eastAsia" w:ascii="Times New Roman" w:hAnsi="Times New Roman" w:eastAsia="仿宋" w:cs="Times New Roman"/>
          <w:sz w:val="32"/>
          <w:szCs w:val="32"/>
        </w:rPr>
        <w:t>万元，主要用于保证机关正常运转的办公及印刷费、邮电费、福利费、</w:t>
      </w:r>
      <w:r>
        <w:rPr>
          <w:rFonts w:hint="eastAsia" w:ascii="Times New Roman" w:hAnsi="Times New Roman" w:eastAsia="仿宋" w:cs="Times New Roman"/>
          <w:sz w:val="32"/>
          <w:szCs w:val="32"/>
          <w:lang w:eastAsia="zh-CN"/>
        </w:rPr>
        <w:t>工会经费、</w:t>
      </w:r>
      <w:r>
        <w:rPr>
          <w:rFonts w:hint="eastAsia" w:ascii="Times New Roman" w:hAnsi="Times New Roman" w:eastAsia="仿宋" w:cs="Times New Roman"/>
          <w:sz w:val="32"/>
          <w:szCs w:val="32"/>
        </w:rPr>
        <w:t>办公用房水电费、</w:t>
      </w:r>
      <w:r>
        <w:rPr>
          <w:rFonts w:hint="eastAsia" w:ascii="Times New Roman" w:hAnsi="Times New Roman" w:eastAsia="仿宋" w:cs="Times New Roman"/>
          <w:sz w:val="32"/>
          <w:szCs w:val="32"/>
          <w:lang w:eastAsia="zh-CN"/>
        </w:rPr>
        <w:t>差旅费、</w:t>
      </w:r>
      <w:r>
        <w:rPr>
          <w:rFonts w:hint="eastAsia" w:ascii="Times New Roman" w:hAnsi="Times New Roman" w:eastAsia="仿宋" w:cs="Times New Roman"/>
          <w:sz w:val="32"/>
          <w:szCs w:val="32"/>
        </w:rPr>
        <w:t>日常维修费、公务车运行维护费</w:t>
      </w:r>
      <w:r>
        <w:rPr>
          <w:rFonts w:hint="eastAsia" w:ascii="Times New Roman" w:hAnsi="Times New Roman" w:eastAsia="仿宋" w:cs="Times New Roman"/>
          <w:sz w:val="32"/>
          <w:szCs w:val="32"/>
          <w:lang w:eastAsia="zh-CN"/>
        </w:rPr>
        <w:t>、其他交通费用</w:t>
      </w:r>
      <w:r>
        <w:rPr>
          <w:rFonts w:hint="eastAsia" w:ascii="Times New Roman" w:hAnsi="Times New Roman" w:eastAsia="仿宋" w:cs="Times New Roman"/>
          <w:sz w:val="32"/>
          <w:szCs w:val="32"/>
        </w:rPr>
        <w:t>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0.93</w:t>
      </w:r>
      <w:r>
        <w:rPr>
          <w:rFonts w:hint="eastAsia" w:ascii="Times New Roman" w:hAnsi="Times New Roman" w:eastAsia="仿宋" w:cs="Times New Roman"/>
          <w:sz w:val="32"/>
          <w:szCs w:val="32"/>
        </w:rPr>
        <w:t>万元，其中：公务用车购置及运维费</w:t>
      </w:r>
      <w:r>
        <w:rPr>
          <w:rFonts w:hint="eastAsia" w:ascii="Times New Roman" w:hAnsi="Times New Roman" w:eastAsia="仿宋" w:cs="Times New Roman"/>
          <w:sz w:val="32"/>
          <w:szCs w:val="32"/>
          <w:lang w:val="en-US" w:eastAsia="zh-CN"/>
        </w:rPr>
        <w:t>0.93</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0.93</w:t>
      </w:r>
      <w:r>
        <w:rPr>
          <w:rFonts w:hint="eastAsia" w:ascii="Times New Roman" w:hAnsi="Times New Roman" w:eastAsia="仿宋" w:cs="Times New Roman"/>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1、实现基本农田面积不减少，各行业合理用地需求得到保障，及时掌握全县城乡土地变更信息，进一步提高土地节约集约利用水平。</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2、实现全县矿产资源开发管理科学合理；加强基础地质工作；管理好重要地质资料；稳步推进矿山地质环境治理攻坚行动；提高地质灾害预警预报能力；掌握地面沉降动态变化数据。</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3、管理全县海岸线，科学合理用海；保护海洋环境，减少入海污染；保护海岛生态系统，合理利用海岛资源，及时掌握海洋经济发展动态。</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4、执法检查落实在日常，及时发现、制止违法行为，重大专项执法工作按量按质完成，维护群众合法权益。</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5、进一步增强国土资源（海洋）管理保障能力。</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6、完成省市下达和县委县政府制定的造林任务及全县森林覆盖率考核目标。有效改善生态环境。</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7、示范推广林业生产管理的良种、良法，提高林产品品质和经济效益。</w:t>
      </w:r>
    </w:p>
    <w:p>
      <w:pPr>
        <w:autoSpaceDE w:val="0"/>
        <w:autoSpaceDN w:val="0"/>
        <w:adjustRightInd w:val="0"/>
        <w:ind w:left="198" w:firstLine="640" w:firstLineChars="200"/>
        <w:jc w:val="left"/>
        <w:rPr>
          <w:rFonts w:ascii="Times New Roman" w:hAnsi="Times New Roman" w:eastAsia="方正仿宋_GBK" w:cs="Times New Roman"/>
          <w:b/>
          <w:color w:val="auto"/>
          <w:sz w:val="32"/>
          <w:szCs w:val="32"/>
        </w:rPr>
      </w:pPr>
      <w:r>
        <w:rPr>
          <w:rFonts w:hint="eastAsia" w:ascii="Times New Roman" w:hAnsi="Times New Roman" w:eastAsia="方正仿宋_GBK" w:cs="Times New Roman"/>
          <w:b/>
          <w:color w:val="auto"/>
          <w:sz w:val="32"/>
          <w:szCs w:val="32"/>
        </w:rPr>
        <w:t>（二）分项绩效目标</w:t>
      </w:r>
      <w:r>
        <w:rPr>
          <w:rFonts w:hint="eastAsia" w:ascii="Times New Roman" w:hAnsi="Times New Roman" w:eastAsia="方正仿宋_GBK" w:cs="Times New Roman"/>
          <w:b/>
          <w:color w:val="auto"/>
          <w:sz w:val="32"/>
          <w:szCs w:val="32"/>
        </w:rPr>
        <w:fldChar w:fldCharType="begin"/>
      </w:r>
      <w:r>
        <w:rPr>
          <w:rFonts w:hint="eastAsia" w:ascii="Times New Roman" w:hAnsi="Times New Roman" w:eastAsia="方正仿宋_GBK" w:cs="Times New Roman"/>
          <w:b/>
          <w:color w:val="auto"/>
          <w:sz w:val="32"/>
          <w:szCs w:val="32"/>
        </w:rPr>
        <w:instrText xml:space="preserve"> TC </w:instrText>
      </w:r>
      <w:bookmarkStart w:id="2" w:name="_Toc29484629"/>
      <w:r>
        <w:rPr>
          <w:rFonts w:hint="eastAsia" w:ascii="Times New Roman" w:hAnsi="Times New Roman" w:eastAsia="方正仿宋_GBK" w:cs="Times New Roman"/>
          <w:b/>
          <w:color w:val="auto"/>
          <w:sz w:val="32"/>
          <w:szCs w:val="32"/>
        </w:rPr>
        <w:instrText xml:space="preserve">分项绩效目标</w:instrText>
      </w:r>
      <w:bookmarkEnd w:id="2"/>
      <w:r>
        <w:rPr>
          <w:rFonts w:hint="eastAsia" w:ascii="Times New Roman" w:hAnsi="Times New Roman" w:eastAsia="方正仿宋_GBK" w:cs="Times New Roman"/>
          <w:b/>
          <w:color w:val="auto"/>
          <w:sz w:val="32"/>
          <w:szCs w:val="32"/>
        </w:rPr>
        <w:instrText xml:space="preserve"> \f A \l 1 </w:instrText>
      </w:r>
      <w:r>
        <w:rPr>
          <w:rFonts w:hint="eastAsia" w:ascii="Times New Roman" w:hAnsi="Times New Roman" w:eastAsia="方正仿宋_GBK" w:cs="Times New Roman"/>
          <w:b/>
          <w:color w:val="auto"/>
          <w:sz w:val="32"/>
          <w:szCs w:val="32"/>
        </w:rPr>
        <w:fldChar w:fldCharType="end"/>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土地资源管理</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绩效</w:t>
      </w:r>
      <w:r>
        <w:rPr>
          <w:rFonts w:hint="eastAsia" w:ascii="Times New Roman" w:hAnsi="Times New Roman" w:eastAsia="仿宋" w:cs="Times New Roman"/>
          <w:sz w:val="32"/>
          <w:szCs w:val="32"/>
        </w:rPr>
        <w:t>目标：实现基本农田面积不减少，各行业合理用地需求得到保障，及时掌握全县城乡土地变更信息，进一步提高土地节约集约利用水平。</w:t>
      </w:r>
    </w:p>
    <w:p>
      <w:pPr>
        <w:autoSpaceDE w:val="0"/>
        <w:autoSpaceDN w:val="0"/>
        <w:adjustRightInd w:val="0"/>
        <w:ind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绩效指标：</w:t>
      </w:r>
      <w:r>
        <w:rPr>
          <w:rFonts w:hint="eastAsia" w:ascii="Times New Roman" w:hAnsi="Times New Roman" w:eastAsia="仿宋" w:cs="Times New Roman"/>
          <w:sz w:val="32"/>
          <w:szCs w:val="32"/>
          <w:lang w:val="en-US" w:eastAsia="zh-CN"/>
        </w:rPr>
        <w:t>总量平衡面积实测率、占补平衡数据准确率、总量平衡数据准确率、耕地质量等别更新与检测完成率、土地复垦方案审查通过率、占补平衡面积实测率、地籍管理完成率、土地变更调查完成率、城乡建设用地增减挂钩工作完成率、评价成果县级汇总与分析更新完成情况。</w:t>
      </w:r>
    </w:p>
    <w:p>
      <w:pPr>
        <w:numPr>
          <w:ilvl w:val="0"/>
          <w:numId w:val="0"/>
        </w:numPr>
        <w:autoSpaceDE w:val="0"/>
        <w:autoSpaceDN w:val="0"/>
        <w:adjustRightInd w:val="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矿产资源管理与地质环境保护</w:t>
      </w:r>
    </w:p>
    <w:p>
      <w:pPr>
        <w:numPr>
          <w:ilvl w:val="0"/>
          <w:numId w:val="1"/>
        </w:num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矿产资源管理与地质环境保护</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绩效</w:t>
      </w:r>
      <w:r>
        <w:rPr>
          <w:rFonts w:hint="eastAsia" w:ascii="Times New Roman" w:hAnsi="Times New Roman" w:eastAsia="仿宋" w:cs="Times New Roman"/>
          <w:sz w:val="32"/>
          <w:szCs w:val="32"/>
        </w:rPr>
        <w:t>目标：实现全县矿产资源开发管理科学合理；加强基础地质工作；管理好重要地质资料；稳步推进矿山地质环境治理攻坚行动；提高地质灾害预警预报能力；掌握地面沉降动态变化数据。</w:t>
      </w:r>
    </w:p>
    <w:p>
      <w:pPr>
        <w:numPr>
          <w:ilvl w:val="0"/>
          <w:numId w:val="0"/>
        </w:numPr>
        <w:autoSpaceDE w:val="0"/>
        <w:autoSpaceDN w:val="0"/>
        <w:adjustRightInd w:val="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 xml:space="preserve">    绩效指标：矿产勘查实施方案评审率、矿产开发利用方案通过率、地质资料管理工作完成率、矿产资源储量管理基础工作完成率、隐患点排查核查率、地下水监测率。</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海洋资源管理</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绩效</w:t>
      </w:r>
      <w:r>
        <w:rPr>
          <w:rFonts w:hint="eastAsia" w:ascii="Times New Roman" w:hAnsi="Times New Roman" w:eastAsia="仿宋" w:cs="Times New Roman"/>
          <w:sz w:val="32"/>
          <w:szCs w:val="32"/>
        </w:rPr>
        <w:t>目标：管理全县海岸线，科学合理用海；保护海洋环境，减少入海污染；保护海岛生态系统，合理利用海岛资源，及时掌握海洋经济发展动态。</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绩效指标</w:t>
      </w:r>
      <w:r>
        <w:rPr>
          <w:rFonts w:hint="eastAsia" w:ascii="Times New Roman" w:hAnsi="Times New Roman" w:eastAsia="仿宋" w:cs="Times New Roman"/>
          <w:sz w:val="32"/>
          <w:szCs w:val="32"/>
          <w:lang w:val="en-US" w:eastAsia="zh-CN"/>
        </w:rPr>
        <w:t>:海域使用监测率、监测数据合格率、海洋经济运行监测评估统计分析和信息发布工作完成率。</w:t>
      </w:r>
    </w:p>
    <w:p>
      <w:pPr>
        <w:numPr>
          <w:ilvl w:val="0"/>
          <w:numId w:val="2"/>
        </w:num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国土资源执法与监察</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职责目标：执法检查落实在日常，及时发现、制止违法行为，重大专项执法工作按量按质完成，维护群众合法权益。</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绩效指标：举报线索处置率、重大典型违法案件调查反馈率、专项执法工作完成率。</w:t>
      </w:r>
    </w:p>
    <w:p>
      <w:pPr>
        <w:numPr>
          <w:ilvl w:val="0"/>
          <w:numId w:val="2"/>
        </w:num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国土资源政务管理</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职责目标：进一步增强国土资源（海洋）管理保障能力。</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绩效指标：</w:t>
      </w:r>
      <w:r>
        <w:rPr>
          <w:rFonts w:hint="eastAsia" w:ascii="Times New Roman" w:hAnsi="Times New Roman" w:eastAsia="仿宋" w:cs="Times New Roman"/>
          <w:sz w:val="32"/>
          <w:szCs w:val="32"/>
          <w:lang w:val="en-US" w:eastAsia="zh-CN"/>
        </w:rPr>
        <w:t>综合业务管理工作完成率、综合事务管理工作完成率。</w:t>
      </w:r>
    </w:p>
    <w:p>
      <w:pPr>
        <w:numPr>
          <w:ilvl w:val="0"/>
          <w:numId w:val="2"/>
        </w:num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林业生态建设</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绩效</w:t>
      </w:r>
      <w:r>
        <w:rPr>
          <w:rFonts w:hint="eastAsia" w:ascii="Times New Roman" w:hAnsi="Times New Roman" w:eastAsia="仿宋" w:cs="Times New Roman"/>
          <w:sz w:val="32"/>
          <w:szCs w:val="32"/>
        </w:rPr>
        <w:t>目标：完成省市下达和县委县政府制定的造林任务及全县森林覆盖率考核目标。有效改善生态环境。</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绩效指标：</w:t>
      </w:r>
      <w:r>
        <w:rPr>
          <w:rFonts w:hint="eastAsia" w:ascii="Times New Roman" w:hAnsi="Times New Roman" w:eastAsia="仿宋" w:cs="Times New Roman"/>
          <w:sz w:val="32"/>
          <w:szCs w:val="32"/>
          <w:lang w:val="en-US" w:eastAsia="zh-CN"/>
        </w:rPr>
        <w:t>森林覆盖面积增长率、造林绿化面积、检查查验收率、退耕还林任务完成率、防沙治沙任务完成率。</w:t>
      </w:r>
    </w:p>
    <w:p>
      <w:pPr>
        <w:numPr>
          <w:ilvl w:val="0"/>
          <w:numId w:val="2"/>
        </w:num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林业科技支撑和公共服务</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绩效</w:t>
      </w:r>
      <w:r>
        <w:rPr>
          <w:rFonts w:hint="eastAsia" w:ascii="Times New Roman" w:hAnsi="Times New Roman" w:eastAsia="仿宋" w:cs="Times New Roman"/>
          <w:sz w:val="32"/>
          <w:szCs w:val="32"/>
        </w:rPr>
        <w:t>目标：示范推广林业生产管理的良种、良法，提高林产品品质和经济效益。</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eastAsia="zh-CN"/>
        </w:rPr>
        <w:t>绩效指标：</w:t>
      </w:r>
      <w:r>
        <w:rPr>
          <w:rFonts w:hint="eastAsia" w:ascii="Times New Roman" w:hAnsi="Times New Roman" w:eastAsia="仿宋" w:cs="Times New Roman"/>
          <w:sz w:val="32"/>
          <w:szCs w:val="32"/>
          <w:lang w:val="en-US" w:eastAsia="zh-CN"/>
        </w:rPr>
        <w:t>年度林木良种培育任务完成率、良种基地建设完成率、林业有害生物成灾控制率、林业有害生物的防治检疫工作完成率、果品质量监测任务完成率。</w:t>
      </w:r>
    </w:p>
    <w:p>
      <w:pPr>
        <w:numPr>
          <w:ilvl w:val="0"/>
          <w:numId w:val="0"/>
        </w:numPr>
        <w:autoSpaceDE w:val="0"/>
        <w:autoSpaceDN w:val="0"/>
        <w:adjustRightInd w:val="0"/>
        <w:ind w:firstLine="640" w:firstLineChars="200"/>
        <w:jc w:val="left"/>
        <w:rPr>
          <w:rFonts w:ascii="Times New Roman" w:hAnsi="Times New Roman" w:eastAsia="方正仿宋_GBK" w:cs="Times New Roman"/>
          <w:b/>
          <w:color w:val="auto"/>
          <w:sz w:val="32"/>
          <w:szCs w:val="32"/>
        </w:rPr>
      </w:pPr>
      <w:r>
        <w:rPr>
          <w:rFonts w:hint="eastAsia" w:ascii="Times New Roman" w:hAnsi="Times New Roman" w:eastAsia="方正仿宋_GBK" w:cs="Times New Roman"/>
          <w:b/>
          <w:color w:val="auto"/>
          <w:sz w:val="32"/>
          <w:szCs w:val="32"/>
        </w:rPr>
        <w:t>（三）工作保障措施</w:t>
      </w:r>
      <w:r>
        <w:rPr>
          <w:rFonts w:hint="eastAsia" w:ascii="Times New Roman" w:hAnsi="Times New Roman" w:eastAsia="方正仿宋_GBK" w:cs="Times New Roman"/>
          <w:b/>
          <w:color w:val="auto"/>
          <w:sz w:val="32"/>
          <w:szCs w:val="32"/>
        </w:rPr>
        <w:fldChar w:fldCharType="begin"/>
      </w:r>
      <w:r>
        <w:rPr>
          <w:rFonts w:hint="eastAsia" w:ascii="Times New Roman" w:hAnsi="Times New Roman" w:eastAsia="方正仿宋_GBK" w:cs="Times New Roman"/>
          <w:b/>
          <w:color w:val="auto"/>
          <w:sz w:val="32"/>
          <w:szCs w:val="32"/>
        </w:rPr>
        <w:instrText xml:space="preserve"> TC </w:instrText>
      </w:r>
      <w:bookmarkStart w:id="3" w:name="_Toc29484630"/>
      <w:r>
        <w:rPr>
          <w:rFonts w:hint="eastAsia" w:ascii="Times New Roman" w:hAnsi="Times New Roman" w:eastAsia="方正仿宋_GBK" w:cs="Times New Roman"/>
          <w:b/>
          <w:color w:val="auto"/>
          <w:sz w:val="32"/>
          <w:szCs w:val="32"/>
        </w:rPr>
        <w:instrText xml:space="preserve">工作保障措施</w:instrText>
      </w:r>
      <w:bookmarkEnd w:id="3"/>
      <w:r>
        <w:rPr>
          <w:rFonts w:hint="eastAsia" w:ascii="Times New Roman" w:hAnsi="Times New Roman" w:eastAsia="方正仿宋_GBK" w:cs="Times New Roman"/>
          <w:b/>
          <w:color w:val="auto"/>
          <w:sz w:val="32"/>
          <w:szCs w:val="32"/>
        </w:rPr>
        <w:instrText xml:space="preserve"> \f A \l 1 </w:instrText>
      </w:r>
      <w:r>
        <w:rPr>
          <w:rFonts w:hint="eastAsia" w:ascii="Times New Roman" w:hAnsi="Times New Roman" w:eastAsia="方正仿宋_GBK" w:cs="Times New Roman"/>
          <w:b/>
          <w:color w:val="auto"/>
          <w:sz w:val="32"/>
          <w:szCs w:val="32"/>
        </w:rPr>
        <w:fldChar w:fldCharType="end"/>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1、组织实施耕地与基本农田保护工作,组织建设用地审批，做好地籍管理工作和土地利用管理工作。</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2、负责全县矿产资源开发管理，组织实施矿产资源勘查，推动地质灾害防治地质环境恢复治理和地质遗迹保护工作，开展地下水监测和地热、矿泉水管理。</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3、加强海域使用、海洋环境保护及海洋综合管理工作。</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4、强化全县国土资源执法监察工作,提高国土资源执法能力。</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5、负责国土资源系统综合业务管理和机关综合事务管理。</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6、组织全县造林绿化、退耕还林、防沙治沙、防治水土流失、应对气候变化等工作，组织沙尘暴灾害预测预报和应急处置。加强森林资源保护管理</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7、组织全县林业及其生态建设的科技创新和技术示范推广，为林业生态发展和林产品生产提供公共支撑。</w:t>
      </w:r>
    </w:p>
    <w:p>
      <w:pPr>
        <w:autoSpaceDE w:val="0"/>
        <w:autoSpaceDN w:val="0"/>
        <w:adjustRightInd w:val="0"/>
        <w:ind w:firstLine="640" w:firstLineChars="200"/>
        <w:jc w:val="left"/>
        <w:rPr>
          <w:rFonts w:ascii="Times New Roman" w:hAnsi="Times New Roman" w:eastAsia="方正仿宋_GBK" w:cs="Times New Roman"/>
          <w:b/>
          <w:color w:val="auto"/>
          <w:sz w:val="32"/>
          <w:szCs w:val="32"/>
        </w:rPr>
      </w:pPr>
      <w:r>
        <w:rPr>
          <w:rFonts w:hint="eastAsia" w:ascii="Times New Roman" w:hAnsi="Times New Roman" w:eastAsia="方正仿宋_GBK" w:cs="Times New Roman"/>
          <w:b/>
          <w:color w:val="auto"/>
          <w:sz w:val="32"/>
          <w:szCs w:val="32"/>
        </w:rPr>
        <w:t>第二部分  预算项目绩效目标</w:t>
      </w:r>
    </w:p>
    <w:p>
      <w:pPr>
        <w:ind w:firstLine="560" w:firstLineChars="200"/>
        <w:jc w:val="left"/>
        <w:outlineLvl w:val="1"/>
        <w:rPr>
          <w:rFonts w:hAnsi="宋体"/>
          <w:b/>
          <w:sz w:val="28"/>
        </w:rPr>
      </w:pPr>
      <w:r>
        <w:rPr>
          <w:rFonts w:hint="eastAsia" w:ascii="方正仿宋_GBK" w:eastAsia="方正仿宋_GBK"/>
          <w:b/>
          <w:sz w:val="28"/>
        </w:rPr>
        <w:t>1、2020年滨河公园西苗圃租地款绩效目标表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3108719"/>
      <w:r>
        <w:rPr>
          <w:rFonts w:hint="eastAsia" w:ascii="方正仿宋_GBK" w:eastAsia="方正仿宋_GBK"/>
          <w:b/>
          <w:sz w:val="28"/>
        </w:rPr>
        <w:instrText xml:space="preserve">1、2020年滨河公园西苗圃租地款绩效目标表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、租地到位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、补贴发放到位</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租地成本降低比例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租地数量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520.959</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租地质量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达到种植要求</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租地时效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租地时效</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发放租地补贴发放完成率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群众对租地补贴发放的整体满意度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2、2020年滨河公园租地款绩效目标表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3108720"/>
      <w:r>
        <w:rPr>
          <w:rFonts w:hint="eastAsia" w:ascii="方正仿宋_GBK" w:eastAsia="方正仿宋_GBK"/>
          <w:b/>
          <w:sz w:val="28"/>
        </w:rPr>
        <w:instrText xml:space="preserve">2、2020年滨河公园租地款绩效目标表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、租地到位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、补助发放到位</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租地成本降低比例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租地数量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520.959</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租地质量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达到种植要求</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租地时效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租地时效</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发放租地补贴发放完成率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群众对租地补贴发放的整体满意度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pPr>
    </w:p>
    <w:p>
      <w:pPr>
        <w:ind w:firstLine="560" w:firstLineChars="200"/>
        <w:jc w:val="left"/>
        <w:outlineLvl w:val="1"/>
        <w:rPr>
          <w:rFonts w:hint="eastAsia" w:ascii="方正仿宋_GBK" w:eastAsia="方正仿宋_GBK"/>
          <w:b/>
          <w:sz w:val="28"/>
        </w:rPr>
      </w:pPr>
    </w:p>
    <w:p>
      <w:pPr>
        <w:ind w:firstLine="560" w:firstLineChars="200"/>
        <w:jc w:val="left"/>
        <w:outlineLvl w:val="1"/>
        <w:rPr>
          <w:rFonts w:hAnsi="宋体"/>
          <w:b/>
          <w:sz w:val="28"/>
        </w:rPr>
      </w:pPr>
      <w:r>
        <w:rPr>
          <w:rFonts w:hint="eastAsia" w:ascii="方正仿宋_GBK" w:eastAsia="方正仿宋_GBK"/>
          <w:b/>
          <w:sz w:val="28"/>
        </w:rPr>
        <w:t>3、补助被征地农民支出绩效目标表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3108721"/>
      <w:r>
        <w:rPr>
          <w:rFonts w:hint="eastAsia" w:ascii="方正仿宋_GBK" w:eastAsia="方正仿宋_GBK"/>
          <w:b/>
          <w:sz w:val="28"/>
        </w:rPr>
        <w:instrText xml:space="preserve">3、补助被征地农民支出绩效目标表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、征地到位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、补助发放到位</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补偿成本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补偿成本降低比例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补偿数量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补偿数量提高比例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补助质量提高比例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补助时效</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按时效完成</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通过征地和拆迁补偿促进社会稳定水平逐步提高</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群众对补偿发放的整体满意度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4、国土资源所人员经费绩效目标表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3108722"/>
      <w:r>
        <w:rPr>
          <w:rFonts w:hint="eastAsia" w:ascii="方正仿宋_GBK" w:eastAsia="方正仿宋_GBK"/>
          <w:b/>
          <w:sz w:val="28"/>
        </w:rPr>
        <w:instrText xml:space="preserve">4、国土资源所人员经费绩效目标表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、人员经费保障到位</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实际发放占应发放数量比例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经费管理质量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经费质量合格以上比例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经费成本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经费成本降低</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经费发放时效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经费发放完成时效</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各项事务要按规定时效完成</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人员工作的社会效益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人员工作取得的社会效益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社会效益应显著体现</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群众对人员经费的满意度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5、冀财农[2019]171号提前下达2020年度省级地下水超采综合治理专项资金绩效目标表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3108723"/>
      <w:r>
        <w:rPr>
          <w:rFonts w:hint="eastAsia" w:ascii="方正仿宋_GBK" w:eastAsia="方正仿宋_GBK"/>
          <w:b/>
          <w:sz w:val="28"/>
        </w:rPr>
        <w:instrText xml:space="preserve">5、冀财农[2019]171号提前下达2020年度省级地下水超采综合治理专项资金绩效目标表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、顺利实现非农作物替代农作物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、达到群众满意</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符合条件申报对象覆盖率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享受扶助政策人数占符合条件申报对象总数的比例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扶助资金到位率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实际到位扶助资金占应到位资金的比例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带动社会资金投资比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带动社会资金投入与扶持奖励资金的比例。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达到绿色产业标准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能够长期较好地开展展演、展映、展播、展示，长期满足人民群众对精神文化的需求。</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群众对补助资金发放标准及时效的满意程度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6、冀财资环[2019]61号提前下达2020年中央财政林业改革发展资金绩效目标表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3108724"/>
      <w:r>
        <w:rPr>
          <w:rFonts w:hint="eastAsia" w:ascii="方正仿宋_GBK" w:eastAsia="方正仿宋_GBK"/>
          <w:b/>
          <w:sz w:val="28"/>
        </w:rPr>
        <w:instrText xml:space="preserve">6、冀财资环[2019]61号提前下达2020年中央财政林业改革发展资金绩效目标表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、森林抚育到位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、资金发放到位</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抚育项目中优良等级占全部抚育数量的比率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按照要求和计划完成抚育的数量占应抚育数量的比例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发放森林抚育补贴发放发放完成率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达到绿色产业标准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生态可持续影响效果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森林抚育对于生态环境的可持续影响效果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接受抚育对象队别贴发放标准及时效的满意程度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7、林业有害生物防治经费绩效目标表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3108725"/>
      <w:r>
        <w:rPr>
          <w:rFonts w:hint="eastAsia" w:ascii="方正仿宋_GBK" w:eastAsia="方正仿宋_GBK"/>
          <w:b/>
          <w:sz w:val="28"/>
        </w:rPr>
        <w:instrText xml:space="preserve">7、林业有害生物防治经费绩效目标表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、飞防到位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、资金拨付到位</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飞防面积占全县面积的比例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飞防面积占全县面积的比例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飞防成本降低比例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飞防成本降低比例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飞防质量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飞防质量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按要求质量完成</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飞防时效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飞防时效</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按时效完成</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因飞防取得的社会效益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因飞防取得的社会效益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防治病虫害</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群众对飞防工作的满意比例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群众对飞防工作的满意比例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8、绿色通道、环城林带租地补贴绩效目标表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3108726"/>
      <w:r>
        <w:rPr>
          <w:rFonts w:hint="eastAsia" w:ascii="方正仿宋_GBK" w:eastAsia="方正仿宋_GBK"/>
          <w:b/>
          <w:sz w:val="28"/>
        </w:rPr>
        <w:instrText xml:space="preserve">8、绿色通道、环城林带租地补贴绩效目标表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、租地到位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、补助发放到位</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租地成本降低比例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租地数量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520.959</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租地质量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达到种植要求</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租地时效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租地时效</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发放租地补贴发放完成率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群众对租地补贴发放的整体满意度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9、征地和拆迁补偿支出绩效目标表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3108727"/>
      <w:r>
        <w:rPr>
          <w:rFonts w:hint="eastAsia" w:ascii="方正仿宋_GBK" w:eastAsia="方正仿宋_GBK"/>
          <w:b/>
          <w:sz w:val="28"/>
        </w:rPr>
        <w:instrText xml:space="preserve">9、征地和拆迁补偿支出绩效目标表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、征地到位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、补偿发放到位</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补偿成本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补偿成本降低比例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补偿数量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补偿数量提高比例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补助质量提高比例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补助时效</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按时效完成</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通过征地和拆迁补偿促进社会稳定水平逐步提高</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群众对补偿发放的整体满意度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10、自然资源行政管理事务经费绩效目标表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3108728"/>
      <w:r>
        <w:rPr>
          <w:rFonts w:hint="eastAsia" w:ascii="方正仿宋_GBK" w:eastAsia="方正仿宋_GBK"/>
          <w:b/>
          <w:sz w:val="28"/>
        </w:rPr>
        <w:instrText xml:space="preserve">10、自然资源行政管理事务经费绩效目标表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、事务管理顺利完成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、资金及时支付到位</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事务管理比例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事务管理占应管理数量比例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事务管理质量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事务管理质量合格以上比例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事务管理成本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事务管理成本降低</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事务管理时效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事务管理完成时效</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各项事务要按规定时效完成</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事务管理取得的社会效益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事务管理取得的社会效益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社会效益应显著体现</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群众对事务管理的满意度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11、自然资源执法监管经费绩效目标表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3108729"/>
      <w:r>
        <w:rPr>
          <w:rFonts w:hint="eastAsia" w:ascii="方正仿宋_GBK" w:eastAsia="方正仿宋_GBK"/>
          <w:b/>
          <w:sz w:val="28"/>
        </w:rPr>
        <w:instrText xml:space="preserve">11、自然资源执法监管经费绩效目标表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、执法监管到位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、经费支出到位</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执法监管成本节约比例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执法监管成本节约比例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执法监管数量增加比例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执法监管数量增加比例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执法监管到位比例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执法监管到位比例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执法监管时效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执法监管时效</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执法监管按时效完成</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通过实施执法监管促进社会稳定水平逐步提高</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群众对执法监管的整体满意度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rPr>
          <w:color w:val="0000FF"/>
        </w:rPr>
      </w:pPr>
    </w:p>
    <w:bookmarkEnd w:id="0"/>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sectPr>
          <w:pgSz w:w="11906" w:h="16838"/>
          <w:pgMar w:top="1440" w:right="1800" w:bottom="1440" w:left="1800" w:header="851" w:footer="992" w:gutter="0"/>
          <w:cols w:space="720" w:num="1"/>
          <w:docGrid w:type="lines" w:linePitch="312" w:charSpace="0"/>
        </w:sectPr>
      </w:pPr>
      <w:bookmarkStart w:id="15"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1644.02</w:t>
      </w:r>
      <w:r>
        <w:rPr>
          <w:rFonts w:ascii="Times New Roman" w:hAnsi="Times New Roman" w:eastAsia="仿宋" w:cs="Times New Roman"/>
          <w:sz w:val="32"/>
          <w:szCs w:val="24"/>
        </w:rPr>
        <w:t>万元。具体内容见下表。</w:t>
      </w:r>
      <w:bookmarkEnd w:id="15"/>
    </w:p>
    <w:p>
      <w:pPr>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6" w:name="_Toc28848395"/>
      <w:r>
        <w:rPr>
          <w:rFonts w:hint="eastAsia" w:ascii="方正小标宋_GBK" w:eastAsia="方正小标宋_GBK"/>
          <w:sz w:val="32"/>
        </w:rPr>
        <w:instrText xml:space="preserve">部门政府采购预算</w:instrText>
      </w:r>
      <w:bookmarkEnd w:id="16"/>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9"/>
        <w:tblW w:w="1562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520"/>
        <w:gridCol w:w="735"/>
        <w:gridCol w:w="1155"/>
        <w:gridCol w:w="1134"/>
        <w:gridCol w:w="1176"/>
        <w:gridCol w:w="809"/>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626" w:type="dxa"/>
            <w:gridSpan w:val="7"/>
            <w:tcBorders>
              <w:top w:val="single" w:color="FFFFFF" w:sz="6" w:space="0"/>
              <w:left w:val="single" w:color="FFFFFF" w:sz="6" w:space="0"/>
              <w:right w:val="single" w:color="FFFFFF" w:sz="6" w:space="0"/>
            </w:tcBorders>
            <w:vAlign w:val="center"/>
          </w:tcPr>
          <w:p>
            <w:pPr>
              <w:spacing w:line="300" w:lineRule="exact"/>
              <w:jc w:val="left"/>
              <w:rPr>
                <w:rFonts w:hint="default" w:ascii="方正小标宋_GBK" w:eastAsia="方正小标宋_GBK"/>
                <w:sz w:val="24"/>
                <w:lang w:val="en-US" w:eastAsia="zh-CN"/>
              </w:rPr>
            </w:pPr>
            <w:r>
              <w:rPr>
                <w:rFonts w:hint="eastAsia" w:ascii="方正小标宋_GBK" w:eastAsia="方正小标宋_GBK"/>
                <w:sz w:val="24"/>
                <w:lang w:val="en-US" w:eastAsia="zh-CN"/>
              </w:rPr>
              <w:t>324  深泽县自然资源和规划局</w:t>
            </w:r>
          </w:p>
        </w:tc>
        <w:tc>
          <w:tcPr>
            <w:tcW w:w="5996"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520"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735"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1155"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996"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520" w:type="dxa"/>
            <w:vMerge w:val="continue"/>
            <w:vAlign w:val="center"/>
          </w:tcPr>
          <w:p>
            <w:pPr>
              <w:spacing w:line="300" w:lineRule="exact"/>
              <w:jc w:val="left"/>
              <w:outlineLvl w:val="0"/>
              <w:rPr>
                <w:rFonts w:ascii="Times New Roman" w:eastAsia="方正仿宋_GBK"/>
                <w:sz w:val="28"/>
              </w:rPr>
            </w:pPr>
          </w:p>
        </w:tc>
        <w:tc>
          <w:tcPr>
            <w:tcW w:w="735" w:type="dxa"/>
            <w:vMerge w:val="continue"/>
            <w:vAlign w:val="center"/>
          </w:tcPr>
          <w:p>
            <w:pPr>
              <w:spacing w:line="300" w:lineRule="exact"/>
              <w:jc w:val="left"/>
              <w:outlineLvl w:val="0"/>
              <w:rPr>
                <w:rFonts w:ascii="Times New Roman" w:eastAsia="方正仿宋_GBK"/>
                <w:sz w:val="28"/>
              </w:rPr>
            </w:pPr>
          </w:p>
        </w:tc>
        <w:tc>
          <w:tcPr>
            <w:tcW w:w="1155" w:type="dxa"/>
            <w:vMerge w:val="continue"/>
            <w:vAlign w:val="center"/>
          </w:tcPr>
          <w:p>
            <w:pPr>
              <w:spacing w:line="300" w:lineRule="exact"/>
              <w:jc w:val="left"/>
              <w:outlineLvl w:val="0"/>
              <w:rPr>
                <w:rFonts w:ascii="Times New Roman" w:eastAsia="方正仿宋_GBK"/>
                <w:sz w:val="28"/>
              </w:rPr>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76"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809"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520" w:type="dxa"/>
            <w:vAlign w:val="center"/>
          </w:tcPr>
          <w:p>
            <w:pPr>
              <w:spacing w:line="300" w:lineRule="exact"/>
              <w:jc w:val="left"/>
              <w:rPr>
                <w:rFonts w:ascii="方正书宋_GBK" w:eastAsia="方正书宋_GBK"/>
                <w:b/>
              </w:rPr>
            </w:pPr>
          </w:p>
        </w:tc>
        <w:tc>
          <w:tcPr>
            <w:tcW w:w="735" w:type="dxa"/>
            <w:vAlign w:val="center"/>
          </w:tcPr>
          <w:p>
            <w:pPr>
              <w:spacing w:line="300" w:lineRule="exact"/>
              <w:jc w:val="right"/>
              <w:rPr>
                <w:rFonts w:ascii="方正书宋_GBK" w:eastAsia="方正书宋_GBK"/>
                <w:b/>
              </w:rPr>
            </w:pPr>
          </w:p>
        </w:tc>
        <w:tc>
          <w:tcPr>
            <w:tcW w:w="1155" w:type="dxa"/>
            <w:vAlign w:val="center"/>
          </w:tcPr>
          <w:p>
            <w:pPr>
              <w:spacing w:line="300" w:lineRule="exact"/>
              <w:jc w:val="right"/>
              <w:rPr>
                <w:rFonts w:ascii="方正书宋_GBK" w:eastAsia="方正书宋_GBK"/>
                <w:b/>
              </w:rPr>
            </w:pPr>
          </w:p>
        </w:tc>
        <w:tc>
          <w:tcPr>
            <w:tcW w:w="1134" w:type="dxa"/>
            <w:vAlign w:val="center"/>
          </w:tcPr>
          <w:p>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1644.02</w:t>
            </w:r>
          </w:p>
        </w:tc>
        <w:tc>
          <w:tcPr>
            <w:tcW w:w="1176" w:type="dxa"/>
            <w:vAlign w:val="center"/>
          </w:tcPr>
          <w:p>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1644.02</w:t>
            </w:r>
          </w:p>
        </w:tc>
        <w:tc>
          <w:tcPr>
            <w:tcW w:w="809"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lang w:eastAsia="zh-CN"/>
              </w:rPr>
              <w:t>深泽县自然资源和规划局</w:t>
            </w:r>
            <w:r>
              <w:rPr>
                <w:rFonts w:hint="eastAsia" w:ascii="方正书宋_GBK" w:eastAsia="方正书宋_GBK"/>
                <w:b/>
              </w:rPr>
              <w:t>小计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520" w:type="dxa"/>
            <w:vAlign w:val="center"/>
          </w:tcPr>
          <w:p>
            <w:pPr>
              <w:spacing w:line="300" w:lineRule="exact"/>
              <w:jc w:val="left"/>
              <w:rPr>
                <w:rFonts w:ascii="方正书宋_GBK" w:eastAsia="方正书宋_GBK"/>
                <w:b/>
              </w:rPr>
            </w:pPr>
          </w:p>
        </w:tc>
        <w:tc>
          <w:tcPr>
            <w:tcW w:w="735" w:type="dxa"/>
            <w:vAlign w:val="center"/>
          </w:tcPr>
          <w:p>
            <w:pPr>
              <w:spacing w:line="300" w:lineRule="exact"/>
              <w:jc w:val="right"/>
              <w:rPr>
                <w:rFonts w:ascii="方正书宋_GBK" w:eastAsia="方正书宋_GBK"/>
                <w:b/>
              </w:rPr>
            </w:pPr>
          </w:p>
        </w:tc>
        <w:tc>
          <w:tcPr>
            <w:tcW w:w="1155" w:type="dxa"/>
            <w:vAlign w:val="center"/>
          </w:tcPr>
          <w:p>
            <w:pPr>
              <w:spacing w:line="300" w:lineRule="exact"/>
              <w:jc w:val="right"/>
              <w:rPr>
                <w:rFonts w:ascii="方正书宋_GBK" w:eastAsia="方正书宋_GBK"/>
                <w:b/>
              </w:rPr>
            </w:pPr>
          </w:p>
        </w:tc>
        <w:tc>
          <w:tcPr>
            <w:tcW w:w="1134" w:type="dxa"/>
            <w:vAlign w:val="center"/>
          </w:tcPr>
          <w:p>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1644.02</w:t>
            </w:r>
          </w:p>
        </w:tc>
        <w:tc>
          <w:tcPr>
            <w:tcW w:w="1176" w:type="dxa"/>
            <w:vAlign w:val="center"/>
          </w:tcPr>
          <w:p>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1644.02</w:t>
            </w:r>
          </w:p>
        </w:tc>
        <w:tc>
          <w:tcPr>
            <w:tcW w:w="809"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国土空间规划编制费用</w:t>
            </w:r>
          </w:p>
        </w:tc>
        <w:tc>
          <w:tcPr>
            <w:tcW w:w="1134"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510.00</w:t>
            </w:r>
          </w:p>
        </w:tc>
        <w:tc>
          <w:tcPr>
            <w:tcW w:w="1559"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服务</w:t>
            </w:r>
          </w:p>
        </w:tc>
        <w:tc>
          <w:tcPr>
            <w:tcW w:w="1417" w:type="dxa"/>
            <w:vAlign w:val="center"/>
          </w:tcPr>
          <w:p>
            <w:pPr>
              <w:spacing w:line="300" w:lineRule="exact"/>
              <w:jc w:val="left"/>
              <w:rPr>
                <w:rFonts w:ascii="方正书宋_GBK" w:eastAsia="方正书宋_GBK"/>
              </w:rPr>
            </w:pPr>
          </w:p>
        </w:tc>
        <w:tc>
          <w:tcPr>
            <w:tcW w:w="520" w:type="dxa"/>
            <w:vAlign w:val="center"/>
          </w:tcPr>
          <w:p>
            <w:pPr>
              <w:spacing w:line="300" w:lineRule="exact"/>
              <w:jc w:val="left"/>
              <w:rPr>
                <w:rFonts w:ascii="方正书宋_GBK" w:eastAsia="方正书宋_GBK"/>
              </w:rPr>
            </w:pPr>
          </w:p>
        </w:tc>
        <w:tc>
          <w:tcPr>
            <w:tcW w:w="735" w:type="dxa"/>
            <w:vAlign w:val="center"/>
          </w:tcPr>
          <w:p>
            <w:pPr>
              <w:spacing w:line="300" w:lineRule="exact"/>
              <w:jc w:val="right"/>
              <w:rPr>
                <w:rFonts w:ascii="方正书宋_GBK" w:eastAsia="方正书宋_GBK"/>
              </w:rPr>
            </w:pPr>
            <w:r>
              <w:rPr>
                <w:rFonts w:ascii="方正书宋_GBK" w:eastAsia="方正书宋_GBK"/>
              </w:rPr>
              <w:t>1.00</w:t>
            </w:r>
          </w:p>
        </w:tc>
        <w:tc>
          <w:tcPr>
            <w:tcW w:w="1155"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510.00</w:t>
            </w:r>
          </w:p>
        </w:tc>
        <w:tc>
          <w:tcPr>
            <w:tcW w:w="1134"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510.00</w:t>
            </w:r>
          </w:p>
        </w:tc>
        <w:tc>
          <w:tcPr>
            <w:tcW w:w="1176"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510.00</w:t>
            </w:r>
          </w:p>
        </w:tc>
        <w:tc>
          <w:tcPr>
            <w:tcW w:w="809"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深泽县桥头乡方元村等八个村提质改造项目</w:t>
            </w:r>
          </w:p>
        </w:tc>
        <w:tc>
          <w:tcPr>
            <w:tcW w:w="1134"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1134.02</w:t>
            </w:r>
          </w:p>
        </w:tc>
        <w:tc>
          <w:tcPr>
            <w:tcW w:w="1559"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工程</w:t>
            </w:r>
          </w:p>
        </w:tc>
        <w:tc>
          <w:tcPr>
            <w:tcW w:w="1417" w:type="dxa"/>
            <w:vAlign w:val="center"/>
          </w:tcPr>
          <w:p>
            <w:pPr>
              <w:spacing w:line="300" w:lineRule="exact"/>
              <w:jc w:val="left"/>
              <w:rPr>
                <w:rFonts w:ascii="方正书宋_GBK" w:eastAsia="方正书宋_GBK"/>
              </w:rPr>
            </w:pPr>
          </w:p>
        </w:tc>
        <w:tc>
          <w:tcPr>
            <w:tcW w:w="520" w:type="dxa"/>
            <w:vAlign w:val="center"/>
          </w:tcPr>
          <w:p>
            <w:pPr>
              <w:spacing w:line="300" w:lineRule="exact"/>
              <w:jc w:val="left"/>
              <w:rPr>
                <w:rFonts w:ascii="方正书宋_GBK" w:eastAsia="方正书宋_GBK"/>
              </w:rPr>
            </w:pPr>
          </w:p>
        </w:tc>
        <w:tc>
          <w:tcPr>
            <w:tcW w:w="735" w:type="dxa"/>
            <w:vAlign w:val="center"/>
          </w:tcPr>
          <w:p>
            <w:pPr>
              <w:spacing w:line="300" w:lineRule="exact"/>
              <w:jc w:val="right"/>
              <w:rPr>
                <w:rFonts w:ascii="方正书宋_GBK" w:eastAsia="方正书宋_GBK"/>
              </w:rPr>
            </w:pPr>
            <w:r>
              <w:rPr>
                <w:rFonts w:ascii="方正书宋_GBK" w:eastAsia="方正书宋_GBK"/>
              </w:rPr>
              <w:t>1.00</w:t>
            </w:r>
          </w:p>
        </w:tc>
        <w:tc>
          <w:tcPr>
            <w:tcW w:w="1155"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1134.02</w:t>
            </w:r>
          </w:p>
        </w:tc>
        <w:tc>
          <w:tcPr>
            <w:tcW w:w="1134"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1134.02</w:t>
            </w:r>
          </w:p>
        </w:tc>
        <w:tc>
          <w:tcPr>
            <w:tcW w:w="1176"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1134.02</w:t>
            </w:r>
          </w:p>
        </w:tc>
        <w:tc>
          <w:tcPr>
            <w:tcW w:w="809"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深泽县自然资源和规划局</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436.22</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rPr>
        <w:t>。</w:t>
      </w:r>
    </w:p>
    <w:tbl>
      <w:tblPr>
        <w:tblStyle w:val="9"/>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hint="eastAsia" w:ascii="宋体" w:hAnsi="宋体" w:cs="宋体"/>
                <w:b/>
                <w:bCs/>
                <w:kern w:val="0"/>
                <w:sz w:val="32"/>
                <w:szCs w:val="32"/>
                <w:lang w:eastAsia="zh-CN"/>
              </w:rPr>
            </w:pPr>
          </w:p>
          <w:p>
            <w:pPr>
              <w:widowControl/>
              <w:jc w:val="center"/>
              <w:rPr>
                <w:rFonts w:hint="eastAsia" w:ascii="宋体" w:hAnsi="宋体" w:cs="宋体"/>
                <w:b/>
                <w:bCs/>
                <w:kern w:val="0"/>
                <w:sz w:val="32"/>
                <w:szCs w:val="32"/>
                <w:lang w:eastAsia="zh-CN"/>
              </w:rPr>
            </w:pPr>
          </w:p>
          <w:p>
            <w:pPr>
              <w:widowControl/>
              <w:jc w:val="center"/>
              <w:rPr>
                <w:rFonts w:hint="eastAsia" w:ascii="宋体" w:hAnsi="宋体" w:cs="宋体"/>
                <w:b/>
                <w:bCs/>
                <w:kern w:val="0"/>
                <w:sz w:val="32"/>
                <w:szCs w:val="32"/>
                <w:lang w:eastAsia="zh-CN"/>
              </w:rPr>
            </w:pPr>
          </w:p>
          <w:p>
            <w:pPr>
              <w:widowControl/>
              <w:jc w:val="center"/>
              <w:rPr>
                <w:rFonts w:ascii="宋体" w:hAnsi="宋体" w:cs="宋体"/>
                <w:b/>
                <w:bCs/>
                <w:kern w:val="0"/>
                <w:sz w:val="32"/>
                <w:szCs w:val="32"/>
              </w:rPr>
            </w:pPr>
            <w:r>
              <w:rPr>
                <w:rFonts w:hint="eastAsia" w:ascii="宋体" w:hAnsi="宋体" w:cs="宋体"/>
                <w:b/>
                <w:bCs/>
                <w:kern w:val="0"/>
                <w:sz w:val="32"/>
                <w:szCs w:val="32"/>
                <w:lang w:eastAsia="zh-CN"/>
              </w:rPr>
              <w:t>深泽县自然资源和规划局</w:t>
            </w:r>
            <w:r>
              <w:rPr>
                <w:rFonts w:hint="eastAsia" w:ascii="宋体" w:hAnsi="宋体" w:cs="宋体"/>
                <w:b/>
                <w:bCs/>
                <w:kern w:val="0"/>
                <w:sz w:val="32"/>
                <w:szCs w:val="32"/>
              </w:rPr>
              <w:t>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深泽县自然资源和规划局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436.22</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5680</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399.29</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5680</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399.29</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36.93</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800" w:firstLineChars="250"/>
        <w:rPr>
          <w:rFonts w:ascii="Times New Roman" w:hAnsi="Times New Roman" w:eastAsia="仿宋" w:cs="Times New Roman"/>
          <w:sz w:val="32"/>
          <w:szCs w:val="32"/>
        </w:rPr>
      </w:pPr>
      <w:r>
        <w:rPr>
          <w:rFonts w:hint="eastAsia" w:ascii="仿宋" w:hAnsi="仿宋" w:eastAsia="仿宋"/>
          <w:sz w:val="32"/>
          <w:szCs w:val="32"/>
        </w:rPr>
        <w:t>我</w:t>
      </w:r>
      <w:r>
        <w:rPr>
          <w:rFonts w:hint="eastAsia" w:ascii="仿宋" w:hAnsi="仿宋" w:eastAsia="仿宋"/>
          <w:sz w:val="32"/>
          <w:szCs w:val="32"/>
          <w:lang w:eastAsia="zh-CN"/>
        </w:rPr>
        <w:t>部门</w:t>
      </w:r>
      <w:r>
        <w:rPr>
          <w:rFonts w:hint="eastAsia" w:ascii="仿宋" w:hAnsi="仿宋" w:eastAsia="仿宋"/>
          <w:sz w:val="32"/>
          <w:szCs w:val="32"/>
        </w:rPr>
        <w:t>没有国有资本经营预算财政拨款，特此说明。</w:t>
      </w:r>
    </w:p>
    <w:p>
      <w:pPr>
        <w:ind w:firstLine="640" w:firstLineChars="200"/>
        <w:rPr>
          <w:rFonts w:ascii="Times New Roman" w:hAnsi="Times New Roman" w:eastAsia="仿宋" w:cs="Times New Roman"/>
          <w:sz w:val="32"/>
          <w:szCs w:val="32"/>
        </w:rPr>
      </w:pPr>
    </w:p>
    <w:sectPr>
      <w:pgSz w:w="16838" w:h="11906" w:orient="landscape"/>
      <w:pgMar w:top="1803" w:right="1440" w:bottom="1803" w:left="1440" w:header="851" w:footer="992" w:gutter="0"/>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MS Gothic">
    <w:panose1 w:val="020B0609070205080204"/>
    <w:charset w:val="80"/>
    <w:family w:val="modern"/>
    <w:pitch w:val="default"/>
    <w:sig w:usb0="E00002FF" w:usb1="6AC7FDFB" w:usb2="00000012" w:usb3="00000000" w:csb0="4002009F" w:csb1="DFD70000"/>
  </w:font>
  <w:font w:name="方正楷体_GBK">
    <w:altName w:val="宋体"/>
    <w:panose1 w:val="00000000000000000000"/>
    <w:charset w:val="86"/>
    <w:family w:val="roman"/>
    <w:pitch w:val="default"/>
    <w:sig w:usb0="00000000" w:usb1="00000000" w:usb2="00000000" w:usb3="00000000" w:csb0="00040001" w:csb1="00000000"/>
  </w:font>
  <w:font w:name="方正黑体_GBK">
    <w:altName w:val="宋体"/>
    <w:panose1 w:val="00000000000000000000"/>
    <w:charset w:val="86"/>
    <w:family w:val="roman"/>
    <w:pitch w:val="default"/>
    <w:sig w:usb0="00000000" w:usb1="00000000" w:usb2="00000000" w:usb3="00000000" w:csb0="00040001"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Batang">
    <w:panose1 w:val="02030600000101010101"/>
    <w:charset w:val="81"/>
    <w:family w:val="roman"/>
    <w:pitch w:val="default"/>
    <w:sig w:usb0="B00002AF" w:usb1="69D77CFB" w:usb2="00000030" w:usb3="00000000" w:csb0="4008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A698EE"/>
    <w:multiLevelType w:val="singleLevel"/>
    <w:tmpl w:val="5EA698EE"/>
    <w:lvl w:ilvl="0" w:tentative="0">
      <w:start w:val="4"/>
      <w:numFmt w:val="decimal"/>
      <w:suff w:val="nothing"/>
      <w:lvlText w:val="%1、"/>
      <w:lvlJc w:val="left"/>
    </w:lvl>
  </w:abstractNum>
  <w:abstractNum w:abstractNumId="1">
    <w:nsid w:val="5EA69931"/>
    <w:multiLevelType w:val="singleLevel"/>
    <w:tmpl w:val="5EA69931"/>
    <w:lvl w:ilvl="0" w:tentative="0">
      <w:start w:val="2"/>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HorizontalSpacing w:val="105"/>
  <w:drawingGridVerticalSpacing w:val="159"/>
  <w:displayHorizontalDrawingGridEvery w:val="1"/>
  <w:displayVerticalDrawingGridEvery w:val="2"/>
  <w:noPunctuationKerning w:val="1"/>
  <w:characterSpacingControl w:val="compressPunctuation"/>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7F0341"/>
    <w:rsid w:val="009A521C"/>
    <w:rsid w:val="00D607DA"/>
    <w:rsid w:val="00DC6EE5"/>
    <w:rsid w:val="00EE71BA"/>
    <w:rsid w:val="00F867E4"/>
    <w:rsid w:val="056D17C0"/>
    <w:rsid w:val="1C0A23E6"/>
    <w:rsid w:val="22DC3153"/>
    <w:rsid w:val="2B086CC9"/>
    <w:rsid w:val="2E586947"/>
    <w:rsid w:val="370A0177"/>
    <w:rsid w:val="3A072749"/>
    <w:rsid w:val="43826BF3"/>
    <w:rsid w:val="4B225B6C"/>
    <w:rsid w:val="506A352E"/>
    <w:rsid w:val="523669D6"/>
    <w:rsid w:val="601B0A98"/>
    <w:rsid w:val="682A2807"/>
    <w:rsid w:val="738F0E90"/>
    <w:rsid w:val="73FB128D"/>
    <w:rsid w:val="7506718F"/>
    <w:rsid w:val="75B7213B"/>
    <w:rsid w:val="7D514B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unhideWhenUsed/>
    <w:qFormat/>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8">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ScaleCrop>false</ScaleCrop>
  <LinksUpToDate>false</LinksUpToDate>
  <CharactersWithSpaces>8841</CharactersWithSpaces>
  <Application>WPS Office_10.1.0.6748_F1E327BC-269C-435d-A152-05C5408002CA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2020-02-05T03:23:07Z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2052-10.1.0.6748</vt:lpwstr>
  </property>
</Properties>
</file>