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深泽县人力资源和社会保障局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right="0"/>
        <w:jc w:val="center"/>
        <w:textAlignment w:val="auto"/>
        <w:outlineLvl w:val="9"/>
        <w:rPr>
          <w:rFonts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ascii="方正小标宋_GBK" w:hAnsi="方正小标宋_GBK" w:eastAsia="方正小标宋_GBK" w:cs="方正小标宋_GBK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1</w:t>
      </w:r>
      <w:r>
        <w:rPr>
          <w:rFonts w:ascii="方正小标宋_GBK" w:hAnsi="方正小标宋_GBK" w:eastAsia="方正小标宋_GBK" w:cs="方正小标宋_GBK"/>
          <w:sz w:val="44"/>
          <w:szCs w:val="44"/>
        </w:rPr>
        <w:t>年政府信息公开工作年度报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告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08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w w:val="95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20" w:lineRule="exact"/>
        <w:ind w:left="0" w:right="0" w:firstLine="608" w:firstLineChars="200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w w:val="95"/>
        </w:rPr>
        <w:t>按照《</w:t>
      </w:r>
      <w:r>
        <w:rPr>
          <w:rFonts w:hint="eastAsia" w:ascii="仿宋_GB2312" w:hAnsi="仿宋_GB2312" w:eastAsia="仿宋_GB2312" w:cs="仿宋_GB2312"/>
          <w:w w:val="95"/>
          <w:lang w:eastAsia="zh-CN"/>
        </w:rPr>
        <w:t>中华人民共和国政府信息公开条例</w:t>
      </w:r>
      <w:r>
        <w:rPr>
          <w:rFonts w:hint="eastAsia" w:ascii="仿宋_GB2312" w:hAnsi="仿宋_GB2312" w:eastAsia="仿宋_GB2312" w:cs="仿宋_GB2312"/>
          <w:w w:val="99"/>
        </w:rPr>
        <w:t>》</w:t>
      </w:r>
      <w:r>
        <w:rPr>
          <w:rFonts w:hint="eastAsia" w:ascii="仿宋_GB2312" w:hAnsi="仿宋_GB2312" w:eastAsia="仿宋_GB2312" w:cs="仿宋_GB2312"/>
          <w:w w:val="99"/>
          <w:lang w:eastAsia="zh-CN"/>
        </w:rPr>
        <w:t>和国务院办公厅政府信息与政务公开办公室《关于印发&lt;中华人民共和国政府信息公开工作年度报告格式&gt;的通知》</w:t>
      </w:r>
      <w:r>
        <w:rPr>
          <w:rFonts w:hint="eastAsia" w:ascii="仿宋_GB2312" w:hAnsi="仿宋_GB2312" w:eastAsia="仿宋_GB2312" w:cs="仿宋_GB2312"/>
        </w:rPr>
        <w:t>要求，我局编制</w:t>
      </w:r>
      <w:r>
        <w:rPr>
          <w:rFonts w:hint="eastAsia" w:ascii="仿宋_GB2312" w:hAnsi="仿宋_GB2312" w:eastAsia="仿宋_GB2312" w:cs="仿宋_GB2312"/>
          <w:spacing w:val="-86"/>
        </w:rPr>
        <w:t xml:space="preserve"> </w:t>
      </w:r>
      <w:r>
        <w:rPr>
          <w:rFonts w:hint="eastAsia" w:ascii="仿宋_GB2312" w:hAnsi="仿宋_GB2312" w:eastAsia="仿宋_GB2312" w:cs="仿宋_GB2312"/>
        </w:rPr>
        <w:t>202</w:t>
      </w:r>
      <w:r>
        <w:rPr>
          <w:rFonts w:hint="eastAsia" w:ascii="仿宋_GB2312" w:hAnsi="仿宋_GB2312" w:eastAsia="仿宋_GB2312" w:cs="仿宋_GB2312"/>
          <w:lang w:eastAsia="zh-CN"/>
        </w:rPr>
        <w:t>1</w:t>
      </w:r>
      <w:r>
        <w:rPr>
          <w:rFonts w:hint="eastAsia" w:ascii="仿宋_GB2312" w:hAnsi="仿宋_GB2312" w:eastAsia="仿宋_GB2312" w:cs="仿宋_GB2312"/>
        </w:rPr>
        <w:t>年政府信息公开工作</w:t>
      </w:r>
      <w:r>
        <w:rPr>
          <w:rFonts w:hint="eastAsia" w:ascii="仿宋_GB2312" w:hAnsi="仿宋_GB2312" w:eastAsia="仿宋_GB2312" w:cs="仿宋_GB2312"/>
          <w:w w:val="95"/>
        </w:rPr>
        <w:t>年度报告，现向社会公布。</w:t>
      </w:r>
      <w:r>
        <w:rPr>
          <w:rFonts w:hint="eastAsia" w:ascii="仿宋_GB2312" w:hAnsi="仿宋_GB2312" w:eastAsia="仿宋_GB2312" w:cs="仿宋_GB2312"/>
          <w:spacing w:val="-4"/>
        </w:rPr>
        <w:t>本报告中所列数据的统计时限，自</w:t>
      </w:r>
      <w:r>
        <w:rPr>
          <w:rFonts w:hint="eastAsia" w:ascii="仿宋_GB2312" w:hAnsi="仿宋_GB2312" w:eastAsia="仿宋_GB2312" w:cs="仿宋_GB2312"/>
          <w:spacing w:val="-86"/>
        </w:rPr>
        <w:t xml:space="preserve"> </w:t>
      </w:r>
      <w:r>
        <w:rPr>
          <w:rFonts w:hint="eastAsia" w:ascii="仿宋_GB2312" w:hAnsi="仿宋_GB2312" w:eastAsia="仿宋_GB2312" w:cs="仿宋_GB2312"/>
        </w:rPr>
        <w:t>202</w:t>
      </w:r>
      <w:r>
        <w:rPr>
          <w:rFonts w:hint="eastAsia" w:ascii="仿宋_GB2312" w:hAnsi="仿宋_GB2312" w:eastAsia="仿宋_GB2312" w:cs="仿宋_GB231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pacing w:val="-87"/>
        </w:rPr>
        <w:t xml:space="preserve"> 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eastAsia="仿宋_GB2312" w:cs="仿宋_GB2312"/>
          <w:spacing w:val="-84"/>
        </w:rPr>
        <w:t xml:space="preserve"> </w:t>
      </w:r>
      <w:r>
        <w:rPr>
          <w:rFonts w:hint="eastAsia" w:ascii="仿宋_GB2312" w:hAnsi="仿宋_GB2312" w:eastAsia="仿宋_GB2312" w:cs="仿宋_GB2312"/>
        </w:rPr>
        <w:t>1月</w:t>
      </w:r>
      <w:r>
        <w:rPr>
          <w:rFonts w:hint="eastAsia" w:ascii="仿宋_GB2312" w:hAnsi="仿宋_GB2312" w:eastAsia="仿宋_GB2312" w:cs="仿宋_GB2312"/>
          <w:spacing w:val="-80"/>
        </w:rPr>
        <w:t xml:space="preserve"> </w:t>
      </w:r>
      <w:r>
        <w:rPr>
          <w:rFonts w:hint="eastAsia" w:ascii="仿宋_GB2312" w:hAnsi="仿宋_GB2312" w:eastAsia="仿宋_GB2312" w:cs="仿宋_GB2312"/>
        </w:rPr>
        <w:t>1</w:t>
      </w:r>
      <w:r>
        <w:rPr>
          <w:rFonts w:hint="eastAsia" w:ascii="仿宋_GB2312" w:hAnsi="仿宋_GB2312" w:eastAsia="仿宋_GB2312" w:cs="仿宋_GB2312"/>
          <w:spacing w:val="-81"/>
        </w:rPr>
        <w:t xml:space="preserve"> </w:t>
      </w:r>
      <w:r>
        <w:rPr>
          <w:rFonts w:hint="eastAsia" w:ascii="仿宋_GB2312" w:hAnsi="仿宋_GB2312" w:eastAsia="仿宋_GB2312" w:cs="仿宋_GB2312"/>
        </w:rPr>
        <w:t>日起，至</w:t>
      </w:r>
      <w:r>
        <w:rPr>
          <w:rFonts w:hint="eastAsia" w:ascii="仿宋_GB2312" w:hAnsi="仿宋_GB2312" w:eastAsia="仿宋_GB2312" w:cs="仿宋_GB2312"/>
          <w:spacing w:val="-82"/>
        </w:rPr>
        <w:t xml:space="preserve"> </w:t>
      </w:r>
      <w:r>
        <w:rPr>
          <w:rFonts w:hint="eastAsia" w:ascii="仿宋_GB2312" w:hAnsi="仿宋_GB2312" w:eastAsia="仿宋_GB2312" w:cs="仿宋_GB2312"/>
        </w:rPr>
        <w:t>202</w:t>
      </w:r>
      <w:r>
        <w:rPr>
          <w:rFonts w:hint="eastAsia" w:ascii="仿宋_GB2312" w:hAnsi="仿宋_GB2312" w:eastAsia="仿宋_GB2312" w:cs="仿宋_GB2312"/>
          <w:lang w:eastAsia="zh-CN"/>
        </w:rPr>
        <w:t>1</w:t>
      </w:r>
      <w:r>
        <w:rPr>
          <w:rFonts w:hint="eastAsia" w:ascii="仿宋_GB2312" w:hAnsi="仿宋_GB2312" w:eastAsia="仿宋_GB2312" w:cs="仿宋_GB2312"/>
          <w:spacing w:val="-83"/>
        </w:rPr>
        <w:t xml:space="preserve"> </w:t>
      </w:r>
      <w:r>
        <w:rPr>
          <w:rFonts w:hint="eastAsia" w:ascii="仿宋_GB2312" w:hAnsi="仿宋_GB2312" w:eastAsia="仿宋_GB2312" w:cs="仿宋_GB2312"/>
        </w:rPr>
        <w:t>年</w:t>
      </w:r>
      <w:r>
        <w:rPr>
          <w:rFonts w:hint="eastAsia" w:ascii="仿宋_GB2312" w:hAnsi="仿宋_GB2312" w:eastAsia="仿宋_GB2312" w:cs="仿宋_GB2312"/>
          <w:spacing w:val="-80"/>
        </w:rPr>
        <w:t xml:space="preserve"> </w:t>
      </w:r>
      <w:r>
        <w:rPr>
          <w:rFonts w:hint="eastAsia" w:ascii="仿宋_GB2312" w:hAnsi="仿宋_GB2312" w:eastAsia="仿宋_GB2312" w:cs="仿宋_GB2312"/>
        </w:rPr>
        <w:t>12</w:t>
      </w:r>
      <w:r>
        <w:rPr>
          <w:rFonts w:hint="eastAsia" w:ascii="仿宋_GB2312" w:hAnsi="仿宋_GB2312" w:eastAsia="仿宋_GB2312" w:cs="仿宋_GB2312"/>
          <w:spacing w:val="-81"/>
        </w:rPr>
        <w:t xml:space="preserve"> </w:t>
      </w:r>
      <w:r>
        <w:rPr>
          <w:rFonts w:hint="eastAsia" w:ascii="仿宋_GB2312" w:hAnsi="仿宋_GB2312" w:eastAsia="仿宋_GB2312" w:cs="仿宋_GB2312"/>
        </w:rPr>
        <w:t>月</w:t>
      </w:r>
      <w:r>
        <w:rPr>
          <w:rFonts w:hint="eastAsia" w:ascii="仿宋_GB2312" w:hAnsi="仿宋_GB2312" w:eastAsia="仿宋_GB2312" w:cs="仿宋_GB2312"/>
          <w:spacing w:val="-82"/>
        </w:rPr>
        <w:t xml:space="preserve"> </w:t>
      </w:r>
      <w:r>
        <w:rPr>
          <w:rFonts w:hint="eastAsia" w:ascii="仿宋_GB2312" w:hAnsi="仿宋_GB2312" w:eastAsia="仿宋_GB2312" w:cs="仿宋_GB2312"/>
        </w:rPr>
        <w:t>31</w:t>
      </w:r>
      <w:r>
        <w:rPr>
          <w:rFonts w:hint="eastAsia" w:ascii="仿宋_GB2312" w:hAnsi="仿宋_GB2312" w:eastAsia="仿宋_GB2312" w:cs="仿宋_GB2312"/>
          <w:spacing w:val="-81"/>
        </w:rPr>
        <w:t xml:space="preserve"> </w:t>
      </w:r>
      <w:r>
        <w:rPr>
          <w:rFonts w:hint="eastAsia" w:ascii="仿宋_GB2312" w:hAnsi="仿宋_GB2312" w:eastAsia="仿宋_GB2312" w:cs="仿宋_GB2312"/>
        </w:rPr>
        <w:t>日止。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20" w:lineRule="exact"/>
        <w:ind w:left="0" w:right="0" w:firstLine="640" w:firstLineChars="200"/>
        <w:jc w:val="both"/>
        <w:textAlignment w:val="auto"/>
        <w:outlineLvl w:val="9"/>
        <w:rPr>
          <w:rFonts w:ascii="黑体" w:hAnsi="黑体" w:eastAsia="黑体" w:cs="黑体"/>
        </w:rPr>
      </w:pPr>
      <w:r>
        <w:rPr>
          <w:rFonts w:ascii="黑体" w:hAnsi="黑体" w:eastAsia="黑体" w:cs="黑体"/>
        </w:rPr>
        <w:t>一、</w:t>
      </w:r>
      <w:r>
        <w:rPr>
          <w:rFonts w:ascii="黑体" w:hAnsi="黑体" w:eastAsia="黑体" w:cs="黑体"/>
          <w:spacing w:val="-3"/>
        </w:rPr>
        <w:t xml:space="preserve"> </w:t>
      </w:r>
      <w:r>
        <w:rPr>
          <w:rFonts w:hint="eastAsia" w:ascii="黑体" w:hAnsi="黑体" w:eastAsia="黑体" w:cs="黑体"/>
          <w:lang w:eastAsia="zh-CN"/>
        </w:rPr>
        <w:t>总体</w:t>
      </w:r>
      <w:r>
        <w:rPr>
          <w:rFonts w:ascii="黑体" w:hAnsi="黑体" w:eastAsia="黑体" w:cs="黑体"/>
        </w:rPr>
        <w:t>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20" w:lineRule="exact"/>
        <w:ind w:left="0" w:right="0" w:firstLine="640" w:firstLineChars="200"/>
        <w:jc w:val="both"/>
        <w:textAlignment w:val="auto"/>
        <w:outlineLvl w:val="9"/>
      </w:pPr>
      <w:r>
        <w:t>202</w:t>
      </w:r>
      <w:r>
        <w:rPr>
          <w:rFonts w:hint="eastAsia"/>
          <w:lang w:eastAsia="zh-CN"/>
        </w:rPr>
        <w:t>1</w:t>
      </w:r>
      <w:r>
        <w:rPr>
          <w:spacing w:val="-4"/>
        </w:rPr>
        <w:t>年，</w:t>
      </w:r>
      <w:r>
        <w:rPr>
          <w:rFonts w:hint="eastAsia"/>
          <w:spacing w:val="-4"/>
          <w:lang w:eastAsia="zh-CN"/>
        </w:rPr>
        <w:t>深泽县人力资源和社会保障局</w:t>
      </w:r>
      <w:r>
        <w:rPr>
          <w:spacing w:val="-4"/>
        </w:rPr>
        <w:t>政务公开工作领导小组进</w:t>
      </w:r>
      <w:r>
        <w:t>一步加强政府信息公开工作，积极推进决策、执行、管理、</w:t>
      </w:r>
      <w:r>
        <w:rPr>
          <w:spacing w:val="6"/>
        </w:rPr>
        <w:t>服务、结果公开,持续推动简政放权、放管结合、优化服务</w:t>
      </w:r>
      <w:r>
        <w:t>改革，围绕切实增强公开质量和效果，努力提高公开工作办</w:t>
      </w:r>
      <w:r>
        <w:rPr>
          <w:spacing w:val="-6"/>
          <w:w w:val="95"/>
        </w:rPr>
        <w:t>理效率，坚持“及时编辑、及时校核、及时发布、及时提示”</w:t>
      </w:r>
      <w:r>
        <w:t>的“四及时”制度，实现公开工作全流程的格式化、时效化管理。对依申请公开案件办理工作实施流程化管理制度，从审核立案、任务交办、答复初拟到按期公开等全过程实行留痕化管理。为强化政府信息公开时效性、规范性，建立提示卡制度，发现问题、限期整改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20" w:lineRule="exact"/>
        <w:ind w:left="0" w:right="0" w:firstLine="640" w:firstLineChars="200"/>
        <w:jc w:val="both"/>
        <w:textAlignment w:val="auto"/>
        <w:outlineLvl w:val="9"/>
        <w:rPr>
          <w:lang w:eastAsia="zh-CN"/>
        </w:rPr>
      </w:pPr>
      <w:r>
        <w:t>政务公开工作组织领导得到进一步强化，成立由</w:t>
      </w:r>
      <w:r>
        <w:rPr>
          <w:rFonts w:hint="eastAsia"/>
          <w:lang w:eastAsia="zh-CN"/>
        </w:rPr>
        <w:t>分管</w:t>
      </w:r>
      <w:r>
        <w:rPr>
          <w:spacing w:val="-6"/>
        </w:rPr>
        <w:t>局长任组长，</w:t>
      </w:r>
      <w:r>
        <w:rPr>
          <w:rFonts w:hint="eastAsia"/>
          <w:spacing w:val="-6"/>
          <w:lang w:eastAsia="zh-CN"/>
        </w:rPr>
        <w:t>各党组成员任</w:t>
      </w:r>
      <w:r>
        <w:rPr>
          <w:spacing w:val="-6"/>
        </w:rPr>
        <w:t>副组长，</w:t>
      </w:r>
      <w:r>
        <w:rPr>
          <w:rFonts w:hint="eastAsia"/>
          <w:spacing w:val="-6"/>
          <w:lang w:eastAsia="zh-CN"/>
        </w:rPr>
        <w:t>各股股长为</w:t>
      </w:r>
      <w:r>
        <w:rPr>
          <w:spacing w:val="-4"/>
        </w:rPr>
        <w:t>成员的政务公开工作领导小组。政务公</w:t>
      </w:r>
      <w:r>
        <w:rPr>
          <w:w w:val="95"/>
        </w:rPr>
        <w:t>开工作领导小组办公室设在局</w:t>
      </w:r>
      <w:r>
        <w:rPr>
          <w:rFonts w:hint="eastAsia"/>
          <w:w w:val="95"/>
          <w:lang w:eastAsia="zh-CN"/>
        </w:rPr>
        <w:t>综合一股</w:t>
      </w:r>
      <w:r>
        <w:rPr>
          <w:w w:val="95"/>
        </w:rPr>
        <w:t>，统筹协调政务公开工作，按照要求做好相关信息的发布管理，根据依申请公开案件涉及工作，做好答复内容编制</w:t>
      </w:r>
      <w:r>
        <w:rPr>
          <w:rFonts w:hint="eastAsia"/>
          <w:w w:val="95"/>
          <w:lang w:eastAsia="zh-CN"/>
        </w:rPr>
        <w:t>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lang w:eastAsia="zh-CN"/>
        </w:rPr>
      </w:pPr>
      <w:r>
        <w:rPr>
          <w:rFonts w:ascii="黑体" w:hAnsi="黑体" w:eastAsia="黑体" w:cs="黑体"/>
        </w:rPr>
        <w:t>二、主动公开政府信息情况</w:t>
      </w:r>
    </w:p>
    <w:tbl>
      <w:tblPr>
        <w:tblStyle w:val="6"/>
        <w:tblpPr w:leftFromText="180" w:rightFromText="180" w:vertAnchor="text" w:horzAnchor="page" w:tblpX="1261" w:tblpY="227"/>
        <w:tblOverlap w:val="never"/>
        <w:tblW w:w="974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本年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现行有效件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Calibri" w:hAnsi="Calibri" w:cs="Calibri" w:eastAsiaTheme="minorEastAsia"/>
                <w:sz w:val="21"/>
                <w:szCs w:val="21"/>
                <w:lang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Calibri" w:hAnsi="Calibri" w:cs="Calibri" w:eastAsiaTheme="minorEastAsia"/>
                <w:sz w:val="21"/>
                <w:szCs w:val="21"/>
                <w:lang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Calibri" w:hAnsi="Calibri" w:cs="Calibri" w:eastAsiaTheme="minorEastAsia"/>
                <w:sz w:val="21"/>
                <w:szCs w:val="21"/>
                <w:lang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</w:pPr>
            <w:r>
              <w:rPr>
                <w:rFonts w:hint="eastAsia" w:ascii="宋体" w:hAnsi="宋体" w:eastAsia="宋体" w:cs="宋体"/>
                <w:color w:val="000000"/>
                <w:sz w:val="20"/>
                <w:szCs w:val="20"/>
                <w:lang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/>
              <w:jc w:val="both"/>
              <w:textAlignment w:val="auto"/>
              <w:outlineLvl w:val="9"/>
              <w:rPr>
                <w:rFonts w:ascii="宋体" w:eastAsiaTheme="minorEastAsia"/>
                <w:sz w:val="24"/>
                <w:lang w:eastAsia="zh-CN"/>
              </w:rPr>
            </w:pPr>
            <w:r>
              <w:rPr>
                <w:rFonts w:hint="eastAsia" w:ascii="宋体" w:eastAsiaTheme="minorEastAsia"/>
                <w:sz w:val="24"/>
                <w:lang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right="0" w:rightChars="0" w:firstLine="320" w:firstLineChars="1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三、收到和处理政府信息公开申请情况</w:t>
      </w:r>
    </w:p>
    <w:tbl>
      <w:tblPr>
        <w:tblStyle w:val="6"/>
        <w:tblpPr w:leftFromText="180" w:rightFromText="180" w:vertAnchor="text" w:horzAnchor="page" w:tblpX="1347" w:tblpY="299"/>
        <w:tblOverlap w:val="never"/>
        <w:tblW w:w="97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34"/>
        <w:gridCol w:w="1090"/>
        <w:gridCol w:w="1936"/>
        <w:gridCol w:w="549"/>
        <w:gridCol w:w="951"/>
        <w:gridCol w:w="600"/>
        <w:gridCol w:w="765"/>
        <w:gridCol w:w="1080"/>
        <w:gridCol w:w="555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</w:trPr>
        <w:tc>
          <w:tcPr>
            <w:tcW w:w="4260" w:type="dxa"/>
            <w:gridSpan w:val="3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445" w:type="dxa"/>
            <w:gridSpan w:val="7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</w:trPr>
        <w:tc>
          <w:tcPr>
            <w:tcW w:w="4260" w:type="dxa"/>
            <w:gridSpan w:val="3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49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951" w:type="dxa"/>
            <w:gridSpan w:val="5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945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65" w:hRule="atLeast"/>
        </w:trPr>
        <w:tc>
          <w:tcPr>
            <w:tcW w:w="4260" w:type="dxa"/>
            <w:gridSpan w:val="3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49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945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4260" w:type="dxa"/>
            <w:gridSpan w:val="3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4260" w:type="dxa"/>
            <w:gridSpan w:val="3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</w:trPr>
        <w:tc>
          <w:tcPr>
            <w:tcW w:w="1234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26" w:type="dxa"/>
            <w:gridSpan w:val="2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26" w:type="dxa"/>
            <w:gridSpan w:val="2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7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46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65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restart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34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090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36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" w:hRule="atLeast"/>
        </w:trPr>
        <w:tc>
          <w:tcPr>
            <w:tcW w:w="1234" w:type="dxa"/>
            <w:vMerge w:val="continue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26" w:type="dxa"/>
            <w:gridSpan w:val="2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6" w:hRule="atLeast"/>
        </w:trPr>
        <w:tc>
          <w:tcPr>
            <w:tcW w:w="4260" w:type="dxa"/>
            <w:gridSpan w:val="3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549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51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76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1080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5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945" w:type="dxa"/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</w:tr>
    </w:tbl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ascii="黑体" w:hAnsi="黑体" w:eastAsia="黑体" w:cs="黑体"/>
        </w:rPr>
        <w:t>四、政府信息公开行政复议、</w:t>
      </w:r>
      <w:r>
        <w:rPr>
          <w:rFonts w:hint="eastAsia" w:ascii="黑体" w:hAnsi="黑体" w:eastAsia="黑体" w:cs="黑体"/>
          <w:lang w:eastAsia="zh-CN"/>
        </w:rPr>
        <w:t>行政</w:t>
      </w:r>
      <w:r>
        <w:rPr>
          <w:rFonts w:ascii="黑体" w:hAnsi="黑体" w:eastAsia="黑体" w:cs="黑体"/>
        </w:rPr>
        <w:t>诉讼情况</w:t>
      </w:r>
    </w:p>
    <w:tbl>
      <w:tblPr>
        <w:tblStyle w:val="6"/>
        <w:tblW w:w="9549" w:type="dxa"/>
        <w:jc w:val="center"/>
        <w:tblInd w:w="-815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9"/>
        <w:gridCol w:w="566"/>
        <w:gridCol w:w="564"/>
        <w:gridCol w:w="564"/>
        <w:gridCol w:w="615"/>
        <w:gridCol w:w="515"/>
        <w:gridCol w:w="565"/>
        <w:gridCol w:w="565"/>
        <w:gridCol w:w="566"/>
        <w:gridCol w:w="566"/>
        <w:gridCol w:w="566"/>
        <w:gridCol w:w="565"/>
        <w:gridCol w:w="566"/>
        <w:gridCol w:w="566"/>
        <w:gridCol w:w="82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7" w:hRule="atLeast"/>
          <w:jc w:val="center"/>
        </w:trPr>
        <w:tc>
          <w:tcPr>
            <w:tcW w:w="368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86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7" w:hRule="atLeast"/>
          <w:jc w:val="center"/>
        </w:trPr>
        <w:tc>
          <w:tcPr>
            <w:tcW w:w="137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6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6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6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1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77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8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67" w:hRule="atLeast"/>
          <w:jc w:val="center"/>
        </w:trPr>
        <w:tc>
          <w:tcPr>
            <w:tcW w:w="137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6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6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6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56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56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82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7" w:hRule="atLeast"/>
          <w:jc w:val="center"/>
        </w:trPr>
        <w:tc>
          <w:tcPr>
            <w:tcW w:w="13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1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5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  <w:tc>
          <w:tcPr>
            <w:tcW w:w="8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outlineLvl w:val="9"/>
        <w:rPr>
          <w:rFonts w:ascii="黑体" w:hAnsi="黑体" w:eastAsia="黑体" w:cs="黑体"/>
          <w:lang w:eastAsia="zh-CN"/>
        </w:rPr>
      </w:pPr>
      <w:r>
        <w:rPr>
          <w:rFonts w:ascii="黑体" w:hAnsi="黑体" w:eastAsia="黑体" w:cs="黑体"/>
        </w:rPr>
        <w:t>五、存在</w:t>
      </w:r>
      <w:r>
        <w:rPr>
          <w:rFonts w:hint="eastAsia" w:ascii="黑体" w:hAnsi="黑体" w:eastAsia="黑体" w:cs="黑体"/>
          <w:lang w:eastAsia="zh-CN"/>
        </w:rPr>
        <w:t>的主要</w:t>
      </w:r>
      <w:r>
        <w:rPr>
          <w:rFonts w:ascii="黑体" w:hAnsi="黑体" w:eastAsia="黑体" w:cs="黑体"/>
        </w:rPr>
        <w:t>问题及</w:t>
      </w:r>
      <w:r>
        <w:rPr>
          <w:rFonts w:hint="eastAsia" w:ascii="黑体" w:hAnsi="黑体" w:eastAsia="黑体" w:cs="黑体"/>
          <w:lang w:eastAsia="zh-CN"/>
        </w:rPr>
        <w:t>改进情况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/>
        <w:jc w:val="both"/>
        <w:textAlignment w:val="auto"/>
        <w:outlineLvl w:val="9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w w:val="95"/>
        </w:rPr>
        <w:t>通过自查发现，信息发布的格式、文字标准有待进一步</w:t>
      </w:r>
      <w:r>
        <w:rPr>
          <w:rFonts w:hint="eastAsia" w:ascii="仿宋_GB2312" w:hAnsi="仿宋_GB2312" w:eastAsia="仿宋_GB2312" w:cs="仿宋_GB2312"/>
          <w:w w:val="95"/>
          <w:lang w:eastAsia="zh-CN"/>
        </w:rPr>
        <w:t>提</w:t>
      </w:r>
      <w:r>
        <w:rPr>
          <w:rFonts w:hint="eastAsia" w:ascii="仿宋_GB2312" w:hAnsi="仿宋_GB2312" w:eastAsia="仿宋_GB2312" w:cs="仿宋_GB2312"/>
          <w:w w:val="95"/>
        </w:rPr>
        <w:t>高和规范。针对此项问</w:t>
      </w:r>
      <w:r>
        <w:rPr>
          <w:rFonts w:hint="eastAsia" w:ascii="仿宋_GB2312" w:hAnsi="仿宋_GB2312" w:eastAsia="仿宋_GB2312" w:cs="仿宋_GB2312"/>
          <w:spacing w:val="3"/>
        </w:rPr>
        <w:t>题，</w:t>
      </w:r>
      <w:r>
        <w:rPr>
          <w:rFonts w:hint="eastAsia" w:ascii="仿宋_GB2312" w:hAnsi="仿宋_GB2312" w:eastAsia="仿宋_GB2312" w:cs="仿宋_GB2312"/>
          <w:spacing w:val="6"/>
        </w:rPr>
        <w:t>我局对发布信息的格式、</w:t>
      </w:r>
      <w:r>
        <w:rPr>
          <w:rFonts w:hint="eastAsia" w:ascii="仿宋_GB2312" w:hAnsi="仿宋_GB2312" w:eastAsia="仿宋_GB2312" w:cs="仿宋_GB2312"/>
          <w:spacing w:val="6"/>
          <w:lang w:eastAsia="zh-CN"/>
        </w:rPr>
        <w:t>版</w:t>
      </w:r>
      <w:r>
        <w:rPr>
          <w:rFonts w:hint="eastAsia" w:ascii="仿宋_GB2312" w:hAnsi="仿宋_GB2312" w:eastAsia="仿宋_GB2312" w:cs="仿宋_GB2312"/>
          <w:spacing w:val="6"/>
        </w:rPr>
        <w:t xml:space="preserve">式进行统一 </w:t>
      </w:r>
      <w:r>
        <w:rPr>
          <w:rFonts w:hint="eastAsia" w:ascii="仿宋_GB2312" w:hAnsi="仿宋_GB2312" w:eastAsia="仿宋_GB2312" w:cs="仿宋_GB2312"/>
          <w:w w:val="95"/>
        </w:rPr>
        <w:t>规范</w:t>
      </w:r>
      <w:r>
        <w:rPr>
          <w:rFonts w:hint="eastAsia" w:ascii="仿宋_GB2312" w:hAnsi="仿宋_GB2312" w:eastAsia="仿宋_GB2312" w:cs="仿宋_GB2312"/>
          <w:w w:val="95"/>
          <w:lang w:eastAsia="zh-CN"/>
        </w:rPr>
        <w:t>。</w:t>
      </w:r>
      <w:r>
        <w:rPr>
          <w:rFonts w:hint="eastAsia" w:ascii="仿宋_GB2312" w:hAnsi="仿宋_GB2312" w:eastAsia="仿宋_GB2312" w:cs="仿宋_GB2312"/>
          <w:w w:val="95"/>
        </w:rPr>
        <w:t>目前，已着手编制统一的要求文件，根据情况，采取</w:t>
      </w:r>
      <w:r>
        <w:rPr>
          <w:rFonts w:hint="eastAsia" w:ascii="仿宋_GB2312" w:hAnsi="仿宋_GB2312" w:eastAsia="仿宋_GB2312" w:cs="仿宋_GB2312"/>
        </w:rPr>
        <w:t>多渠道形式开展专题培训和讲解。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right="0" w:firstLine="640" w:firstLineChars="200"/>
        <w:jc w:val="both"/>
        <w:textAlignment w:val="auto"/>
        <w:outlineLvl w:val="9"/>
        <w:rPr>
          <w:rFonts w:hint="eastAsia"/>
          <w:lang w:eastAsia="zh-CN"/>
        </w:rPr>
      </w:pPr>
      <w:r>
        <w:rPr>
          <w:rFonts w:ascii="黑体" w:hAnsi="黑体" w:eastAsia="黑体" w:cs="黑体"/>
        </w:rPr>
        <w:t>六、其他需要报告的事项</w:t>
      </w:r>
      <w:r>
        <w:rPr>
          <w:rFonts w:hint="eastAsia" w:ascii="黑体" w:hAnsi="黑体" w:eastAsia="黑体" w:cs="黑体"/>
          <w:lang w:eastAsia="zh-CN"/>
        </w:rPr>
        <w:t>。</w:t>
      </w:r>
      <w:r>
        <w:rPr>
          <w:rFonts w:hint="eastAsia"/>
          <w:lang w:eastAsia="zh-CN"/>
        </w:rPr>
        <w:t>无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60" w:lineRule="exact"/>
        <w:ind w:left="0" w:leftChars="0" w:right="0" w:firstLine="6080" w:firstLineChars="19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2022年1月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sectPr>
      <w:headerReference r:id="rId3" w:type="default"/>
      <w:pgSz w:w="11910" w:h="16840"/>
      <w:pgMar w:top="2098" w:right="1474" w:bottom="1984" w:left="1587" w:header="0" w:footer="0" w:gutter="0"/>
      <w:cols w:space="0" w:num="1"/>
      <w:rtlGutter w:val="0"/>
      <w:docGrid w:linePitch="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</w:compat>
  <w:rsids>
    <w:rsidRoot w:val="001F0730"/>
    <w:rsid w:val="000D769D"/>
    <w:rsid w:val="001B43E8"/>
    <w:rsid w:val="001F0730"/>
    <w:rsid w:val="0020282B"/>
    <w:rsid w:val="00280E44"/>
    <w:rsid w:val="002E1F1A"/>
    <w:rsid w:val="00354EC8"/>
    <w:rsid w:val="00462B33"/>
    <w:rsid w:val="004B79F6"/>
    <w:rsid w:val="005D1EE8"/>
    <w:rsid w:val="00775DC8"/>
    <w:rsid w:val="008701BA"/>
    <w:rsid w:val="00961D85"/>
    <w:rsid w:val="00981165"/>
    <w:rsid w:val="00BD1C99"/>
    <w:rsid w:val="00BD6CA1"/>
    <w:rsid w:val="00C034E3"/>
    <w:rsid w:val="00D52E1C"/>
    <w:rsid w:val="00FC2CA8"/>
    <w:rsid w:val="030B60D7"/>
    <w:rsid w:val="05F9077E"/>
    <w:rsid w:val="1D8079CB"/>
    <w:rsid w:val="23AA3BA8"/>
    <w:rsid w:val="24073D34"/>
    <w:rsid w:val="2A0A5424"/>
    <w:rsid w:val="2FAE76F6"/>
    <w:rsid w:val="35A30DE8"/>
    <w:rsid w:val="3B11628D"/>
    <w:rsid w:val="42CD5A0B"/>
    <w:rsid w:val="480E0709"/>
    <w:rsid w:val="55C5657B"/>
    <w:rsid w:val="59CC6EA7"/>
    <w:rsid w:val="5C3813BB"/>
    <w:rsid w:val="5F352729"/>
    <w:rsid w:val="6BA01E8A"/>
    <w:rsid w:val="6E930B4C"/>
    <w:rsid w:val="6EAD31BE"/>
    <w:rsid w:val="71002695"/>
    <w:rsid w:val="71C15295"/>
    <w:rsid w:val="73DC6F64"/>
    <w:rsid w:val="76BE3E2C"/>
    <w:rsid w:val="7C0E3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140"/>
      <w:ind w:left="120"/>
    </w:pPr>
    <w:rPr>
      <w:rFonts w:ascii="仿宋" w:hAnsi="仿宋" w:eastAsia="仿宋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</w:style>
  <w:style w:type="paragraph" w:customStyle="1" w:styleId="9">
    <w:name w:val="Table Paragraph"/>
    <w:basedOn w:val="1"/>
    <w:qFormat/>
    <w:uiPriority w:val="1"/>
  </w:style>
  <w:style w:type="character" w:customStyle="1" w:styleId="10">
    <w:name w:val="页眉 Char"/>
    <w:basedOn w:val="5"/>
    <w:link w:val="4"/>
    <w:qFormat/>
    <w:uiPriority w:val="0"/>
    <w:rPr>
      <w:rFonts w:eastAsiaTheme="minorHAnsi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177</Words>
  <Characters>1010</Characters>
  <Lines>8</Lines>
  <Paragraphs>2</Paragraphs>
  <TotalTime>88</TotalTime>
  <ScaleCrop>false</ScaleCrop>
  <LinksUpToDate>false</LinksUpToDate>
  <CharactersWithSpaces>1185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2021-02-18T17:44:00Z</dcterms:created>
  <dc:creator>PEKAN</dc:creator>
  <cp:lastModifiedBy>zhaoce</cp:lastModifiedBy>
  <cp:lastPrinted>2022-01-30T02:05:00Z</cp:lastPrinted>
  <dcterms:modified xsi:type="dcterms:W3CDTF">2022-01-30T02:27:07Z</dcterms:modified>
  <dc:title>深泽县人力资源和社会保障局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2021-01-28T00:00:00Z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2021-02-18T00:00:00Z</vt:filetime>
  </property>
  <property fmtid="{D5CDD505-2E9C-101B-9397-08002B2CF9AE}" pid="5" name="KSOProductBuildVer">
    <vt:lpwstr>2052-10.8.2.6837</vt:lpwstr>
  </property>
</Properties>
</file>