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r>
        <w:rPr>
          <w:rFonts w:hint="eastAsia" w:ascii="宋体-方正超大字符集" w:hAnsi="宋体-方正超大字符集" w:eastAsia="宋体-方正超大字符集" w:cs="宋体-方正超大字符集"/>
          <w:b/>
          <w:bCs/>
          <w:sz w:val="44"/>
          <w:szCs w:val="44"/>
        </w:rPr>
        <w:t>2021年单位预算信息公开目录</w:t>
      </w:r>
    </w:p>
    <w:p>
      <w:pPr>
        <w:ind w:firstLine="600" w:firstLineChars="200"/>
        <w:rPr>
          <w:rFonts w:ascii="黑体" w:hAnsi="黑体" w:eastAsia="黑体" w:cs="仿宋_GB2312"/>
          <w:sz w:val="30"/>
          <w:szCs w:val="30"/>
        </w:rPr>
      </w:pPr>
      <w:r>
        <w:rPr>
          <w:rFonts w:hint="eastAsia" w:ascii="黑体" w:hAnsi="黑体" w:eastAsia="黑体" w:cs="仿宋_GB2312"/>
          <w:sz w:val="30"/>
          <w:szCs w:val="30"/>
        </w:rPr>
        <w:t>一、2021年单位预算公开表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单位预算收支总表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单位预算收入总表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单位预算支出总表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单位预算财政拨款收支总表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单位预算一般公共预算财政拨款支出表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单位预算一般公共预算财政拨款基本支出表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单位预算政府性基金预算财政拨款支出表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单位预算国有资本经营预算财政拨款支出表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单位预算财政拨款“三公”经费支出表</w:t>
      </w:r>
    </w:p>
    <w:p>
      <w:pPr>
        <w:ind w:firstLine="600" w:firstLineChars="200"/>
        <w:rPr>
          <w:rFonts w:ascii="黑体" w:hAnsi="黑体" w:eastAsia="黑体" w:cs="仿宋_GB2312"/>
          <w:sz w:val="30"/>
          <w:szCs w:val="30"/>
        </w:rPr>
      </w:pPr>
      <w:r>
        <w:rPr>
          <w:rFonts w:hint="eastAsia" w:ascii="黑体" w:hAnsi="黑体" w:eastAsia="黑体" w:cs="仿宋_GB2312"/>
          <w:sz w:val="30"/>
          <w:szCs w:val="30"/>
        </w:rPr>
        <w:t>二、2021年单位预算信息公开情况说明</w:t>
      </w:r>
    </w:p>
    <w:p>
      <w:pPr>
        <w:numPr>
          <w:ilvl w:val="0"/>
          <w:numId w:val="2"/>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单位职责及机构设置情况</w:t>
      </w:r>
    </w:p>
    <w:p>
      <w:pPr>
        <w:ind w:firstLine="640"/>
        <w:rPr>
          <w:rFonts w:ascii="仿宋_GB2312" w:hAnsi="仿宋_GB2312" w:eastAsia="仿宋_GB2312" w:cs="仿宋_GB2312"/>
          <w:sz w:val="30"/>
          <w:szCs w:val="30"/>
        </w:rPr>
      </w:pPr>
      <w:r>
        <w:rPr>
          <w:rFonts w:hint="eastAsia" w:ascii="仿宋_GB2312" w:hAnsi="仿宋_GB2312" w:eastAsia="仿宋_GB2312" w:cs="仿宋_GB2312"/>
          <w:sz w:val="30"/>
          <w:szCs w:val="30"/>
        </w:rPr>
        <w:t>2、单位预算安排的总体情况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3、机关运行经费安排情况</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4、财政拨款“三公”经费预算情况及增减变化原因</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5、预算绩效信息</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6、政府采购预算情况</w:t>
      </w:r>
    </w:p>
    <w:p>
      <w:pPr>
        <w:autoSpaceDE w:val="0"/>
        <w:autoSpaceDN w:val="0"/>
        <w:adjustRightInd w:val="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7、国有资产信息</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8、名词解释</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9、其他需要说明的事项</w:t>
      </w:r>
    </w:p>
    <w:p/>
    <w:p/>
    <w:tbl>
      <w:tblPr>
        <w:tblStyle w:val="7"/>
        <w:tblpPr w:leftFromText="180" w:rightFromText="180" w:vertAnchor="text" w:horzAnchor="page" w:tblpX="1259" w:tblpY="119"/>
        <w:tblOverlap w:val="never"/>
        <w:tblW w:w="9660" w:type="dxa"/>
        <w:tblInd w:w="0" w:type="dxa"/>
        <w:tblLayout w:type="fixed"/>
        <w:tblCellMar>
          <w:top w:w="0" w:type="dxa"/>
          <w:left w:w="0" w:type="dxa"/>
          <w:bottom w:w="0" w:type="dxa"/>
          <w:right w:w="0" w:type="dxa"/>
        </w:tblCellMar>
      </w:tblPr>
      <w:tblGrid>
        <w:gridCol w:w="1080"/>
        <w:gridCol w:w="2640"/>
        <w:gridCol w:w="1425"/>
        <w:gridCol w:w="2820"/>
        <w:gridCol w:w="1695"/>
      </w:tblGrid>
      <w:tr>
        <w:tblPrEx>
          <w:tblCellMar>
            <w:top w:w="0" w:type="dxa"/>
            <w:left w:w="0" w:type="dxa"/>
            <w:bottom w:w="0" w:type="dxa"/>
            <w:right w:w="0" w:type="dxa"/>
          </w:tblCellMar>
        </w:tblPrEx>
        <w:trPr>
          <w:trHeight w:val="90" w:hRule="atLeast"/>
        </w:trPr>
        <w:tc>
          <w:tcPr>
            <w:tcW w:w="9660" w:type="dxa"/>
            <w:gridSpan w:val="5"/>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单位预算收支总表</w:t>
            </w:r>
          </w:p>
        </w:tc>
      </w:tr>
      <w:tr>
        <w:tblPrEx>
          <w:tblCellMar>
            <w:top w:w="0" w:type="dxa"/>
            <w:left w:w="0" w:type="dxa"/>
            <w:bottom w:w="0" w:type="dxa"/>
            <w:right w:w="0" w:type="dxa"/>
          </w:tblCellMar>
        </w:tblPrEx>
        <w:trPr>
          <w:trHeight w:val="495" w:hRule="atLeast"/>
        </w:trPr>
        <w:tc>
          <w:tcPr>
            <w:tcW w:w="5145" w:type="dxa"/>
            <w:gridSpan w:val="3"/>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预算单位编码及名称：[332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282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169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285"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4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收入</w:t>
            </w:r>
          </w:p>
        </w:tc>
        <w:tc>
          <w:tcPr>
            <w:tcW w:w="45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支出</w:t>
            </w:r>
          </w:p>
        </w:tc>
      </w:tr>
      <w:tr>
        <w:tblPrEx>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    目</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预算数</w:t>
            </w: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    目</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预算数</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一、一般公共预算拨款收入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3206.47</w:t>
            </w: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二、政府性基金预算拨款收入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780.19</w:t>
            </w: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三、国有资本经营预算拨款收入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四、财政专户管理资金收入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五、事业收入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六、事业单位经营收入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七、上级补助收入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七、文化旅游体育与传媒支出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八、附属单位上缴收入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21.43</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九、其他收入</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九、社会保险基金支出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十、卫生健康支出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十一、节能环保支出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十二、城乡社区支出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十三、农林水支出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十四、交通运输支出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十五、资源勘探工业信息等支出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十六、商业服务业等支出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十七、金融支出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十八、援助其他地区支出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十九、自然资源海洋气象等支出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二十、住房保障支出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二十一、粮油物资储备支出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二十二、国有资本经营预算支出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二十三、灾害防治及应急管理支出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二十四、预备费</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二十五、其他支出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二十六、转移性支出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二十七、债务还本支出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二十八、债务付息支出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二十九、债务发行费用支出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三十、抗疫特别国债安排的支出</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本年收入合计</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本年支出合计</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上年结转结余</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年终结转结余</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收入总计</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c>
          <w:tcPr>
            <w:tcW w:w="2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支出总计</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r>
    </w:tbl>
    <w:p>
      <w:pPr>
        <w:sectPr>
          <w:pgSz w:w="11906" w:h="16838"/>
          <w:pgMar w:top="1440" w:right="1800" w:bottom="1440" w:left="1800" w:header="851" w:footer="992" w:gutter="0"/>
          <w:cols w:space="720" w:num="1"/>
          <w:docGrid w:type="lines" w:linePitch="312" w:charSpace="0"/>
        </w:sectPr>
      </w:pPr>
    </w:p>
    <w:tbl>
      <w:tblPr>
        <w:tblStyle w:val="7"/>
        <w:tblW w:w="14554" w:type="dxa"/>
        <w:tblInd w:w="0" w:type="dxa"/>
        <w:tblLayout w:type="fixed"/>
        <w:tblCellMar>
          <w:top w:w="0" w:type="dxa"/>
          <w:left w:w="0" w:type="dxa"/>
          <w:bottom w:w="0" w:type="dxa"/>
          <w:right w:w="0" w:type="dxa"/>
        </w:tblCellMar>
      </w:tblPr>
      <w:tblGrid>
        <w:gridCol w:w="849"/>
        <w:gridCol w:w="1025"/>
        <w:gridCol w:w="4172"/>
        <w:gridCol w:w="1025"/>
        <w:gridCol w:w="1025"/>
        <w:gridCol w:w="1025"/>
        <w:gridCol w:w="738"/>
        <w:gridCol w:w="720"/>
        <w:gridCol w:w="735"/>
        <w:gridCol w:w="780"/>
        <w:gridCol w:w="915"/>
        <w:gridCol w:w="720"/>
        <w:gridCol w:w="825"/>
      </w:tblGrid>
      <w:tr>
        <w:tblPrEx>
          <w:tblCellMar>
            <w:top w:w="0" w:type="dxa"/>
            <w:left w:w="0" w:type="dxa"/>
            <w:bottom w:w="0" w:type="dxa"/>
            <w:right w:w="0" w:type="dxa"/>
          </w:tblCellMar>
        </w:tblPrEx>
        <w:trPr>
          <w:trHeight w:val="525" w:hRule="atLeast"/>
        </w:trPr>
        <w:tc>
          <w:tcPr>
            <w:tcW w:w="14554" w:type="dxa"/>
            <w:gridSpan w:val="1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单位预算收入总表</w:t>
            </w:r>
          </w:p>
        </w:tc>
      </w:tr>
      <w:tr>
        <w:tblPrEx>
          <w:tblCellMar>
            <w:top w:w="0" w:type="dxa"/>
            <w:left w:w="0" w:type="dxa"/>
            <w:bottom w:w="0" w:type="dxa"/>
            <w:right w:w="0" w:type="dxa"/>
          </w:tblCellMar>
        </w:tblPrEx>
        <w:trPr>
          <w:trHeight w:val="300" w:hRule="atLeast"/>
        </w:trPr>
        <w:tc>
          <w:tcPr>
            <w:tcW w:w="11314"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预算单位编码及名称：[332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6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300" w:hRule="atLeast"/>
        </w:trPr>
        <w:tc>
          <w:tcPr>
            <w:tcW w:w="84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51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功能分类科目</w:t>
            </w:r>
          </w:p>
        </w:tc>
        <w:tc>
          <w:tcPr>
            <w:tcW w:w="1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6658"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本年收入</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上年结转</w:t>
            </w:r>
          </w:p>
        </w:tc>
      </w:tr>
      <w:tr>
        <w:tblPrEx>
          <w:tblCellMar>
            <w:top w:w="0" w:type="dxa"/>
            <w:left w:w="0" w:type="dxa"/>
            <w:bottom w:w="0" w:type="dxa"/>
            <w:right w:w="0" w:type="dxa"/>
          </w:tblCellMar>
        </w:tblPrEx>
        <w:trPr>
          <w:trHeight w:val="806" w:hRule="atLeast"/>
        </w:trPr>
        <w:tc>
          <w:tcPr>
            <w:tcW w:w="84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rPr>
                <w:rFonts w:ascii="宋体" w:hAnsi="宋体" w:cs="宋体"/>
                <w:color w:val="000000"/>
                <w:sz w:val="18"/>
                <w:szCs w:val="18"/>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1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rPr>
                <w:rFonts w:ascii="宋体" w:hAnsi="宋体" w:cs="宋体"/>
                <w:color w:val="000000"/>
                <w:sz w:val="18"/>
                <w:szCs w:val="18"/>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小计</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财政拨款收入</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财政专户收入</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事业收入</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经营收入</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上级补助收入</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附属单位上缴收入</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其他收入</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21.43</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21.43</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21.43</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机关事业单位基本养老保险缴费支出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20822</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大中型水库移民后期扶持基金支出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2082201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移民补助</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行政单位医疗</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生态保护</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农林水支出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2130301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行政运行</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403.71</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403.71</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403.71</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2130306</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水利工程运行与维护</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185.60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185.60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185.60</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2130399</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其他水利支出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650.36</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650.36</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650.36</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住房公积金</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22904</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其他政府性基金及对应专项债务收入安排的支出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300" w:hRule="atLeast"/>
        </w:trPr>
        <w:tc>
          <w:tcPr>
            <w:tcW w:w="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2290402</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其他地方自行试点项目收益专项债券收入安排的支出</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220" w:lineRule="exact"/>
              <w:rPr>
                <w:rFonts w:ascii="Tahoma" w:hAnsi="Tahoma" w:eastAsia="Tahoma" w:cs="Tahoma"/>
                <w:color w:val="000000"/>
                <w:sz w:val="22"/>
                <w:szCs w:val="22"/>
              </w:rPr>
            </w:pPr>
          </w:p>
        </w:tc>
      </w:tr>
    </w:tbl>
    <w:p>
      <w:pPr>
        <w:sectPr>
          <w:pgSz w:w="16838" w:h="11906" w:orient="landscape"/>
          <w:pgMar w:top="720" w:right="720" w:bottom="720" w:left="720" w:header="851" w:footer="992" w:gutter="0"/>
          <w:cols w:space="720" w:num="1"/>
          <w:docGrid w:type="lines" w:linePitch="312" w:charSpace="0"/>
        </w:sectPr>
      </w:pPr>
    </w:p>
    <w:tbl>
      <w:tblPr>
        <w:tblStyle w:val="7"/>
        <w:tblpPr w:leftFromText="180" w:rightFromText="180" w:vertAnchor="text" w:horzAnchor="page" w:tblpX="749" w:tblpY="161"/>
        <w:tblOverlap w:val="never"/>
        <w:tblW w:w="10590" w:type="dxa"/>
        <w:tblInd w:w="0" w:type="dxa"/>
        <w:tblLayout w:type="fixed"/>
        <w:tblCellMar>
          <w:top w:w="0" w:type="dxa"/>
          <w:left w:w="0" w:type="dxa"/>
          <w:bottom w:w="0" w:type="dxa"/>
          <w:right w:w="0" w:type="dxa"/>
        </w:tblCellMar>
      </w:tblPr>
      <w:tblGrid>
        <w:gridCol w:w="960"/>
        <w:gridCol w:w="975"/>
        <w:gridCol w:w="2760"/>
        <w:gridCol w:w="1080"/>
        <w:gridCol w:w="1005"/>
        <w:gridCol w:w="1005"/>
        <w:gridCol w:w="900"/>
        <w:gridCol w:w="915"/>
        <w:gridCol w:w="990"/>
      </w:tblGrid>
      <w:tr>
        <w:tblPrEx>
          <w:tblCellMar>
            <w:top w:w="0" w:type="dxa"/>
            <w:left w:w="0" w:type="dxa"/>
            <w:bottom w:w="0" w:type="dxa"/>
            <w:right w:w="0" w:type="dxa"/>
          </w:tblCellMar>
        </w:tblPrEx>
        <w:trPr>
          <w:trHeight w:val="504" w:hRule="atLeast"/>
        </w:trPr>
        <w:tc>
          <w:tcPr>
            <w:tcW w:w="1059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单位预算支出总表</w:t>
            </w:r>
          </w:p>
        </w:tc>
      </w:tr>
      <w:tr>
        <w:tblPrEx>
          <w:tblCellMar>
            <w:top w:w="0" w:type="dxa"/>
            <w:left w:w="0" w:type="dxa"/>
            <w:bottom w:w="0" w:type="dxa"/>
            <w:right w:w="0" w:type="dxa"/>
          </w:tblCellMar>
        </w:tblPrEx>
        <w:trPr>
          <w:trHeight w:val="345" w:hRule="atLeast"/>
        </w:trPr>
        <w:tc>
          <w:tcPr>
            <w:tcW w:w="6780"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预算单位编码及名称：[332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90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190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462"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37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支出功能分类科目</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本年支出合计</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基本支出</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项目支出</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经营支出</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上缴上级支出</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对附属单位补助支出</w:t>
            </w:r>
          </w:p>
        </w:tc>
      </w:tr>
      <w:tr>
        <w:tblPrEx>
          <w:tblCellMar>
            <w:top w:w="0" w:type="dxa"/>
            <w:left w:w="0" w:type="dxa"/>
            <w:bottom w:w="0" w:type="dxa"/>
            <w:right w:w="0" w:type="dxa"/>
          </w:tblCellMar>
        </w:tblPrEx>
        <w:trPr>
          <w:trHeight w:val="317"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cs="宋体"/>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cs="宋体"/>
                <w:color w:val="000000"/>
                <w:sz w:val="18"/>
                <w:szCs w:val="18"/>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cs="宋体"/>
                <w:color w:val="000000"/>
                <w:sz w:val="18"/>
                <w:szCs w:val="18"/>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cs="宋体"/>
                <w:color w:val="000000"/>
                <w:sz w:val="18"/>
                <w:szCs w:val="18"/>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cs="宋体"/>
                <w:color w:val="000000"/>
                <w:sz w:val="18"/>
                <w:szCs w:val="18"/>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cs="宋体"/>
                <w:color w:val="000000"/>
                <w:sz w:val="18"/>
                <w:szCs w:val="18"/>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33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3986.66</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278.51</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3708.15</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21.43</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机关事业单位基本养老保险缴费支出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20822</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大中型水库移民后期扶持基金支出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2082201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移民补助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行政单位医疗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生态保护</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农林水支出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233.71</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1005.96</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233.71</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1005.96</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2130301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行政运行</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403.71</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233.71</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170.00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2130306</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水利工程运行与维护</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185.60</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185.60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2130399</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其他水利支出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650.36</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650.36</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住房公积金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22904</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其他政府性基金及对应专项债务收入安排的支出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r>
        <w:tblPrEx>
          <w:tblCellMar>
            <w:top w:w="0" w:type="dxa"/>
            <w:left w:w="0" w:type="dxa"/>
            <w:bottom w:w="0" w:type="dxa"/>
            <w:right w:w="0" w:type="dxa"/>
          </w:tblCellMar>
        </w:tblPrEx>
        <w:trPr>
          <w:trHeight w:val="462"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2290402</w:t>
            </w:r>
          </w:p>
        </w:tc>
        <w:tc>
          <w:tcPr>
            <w:tcW w:w="27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其他地方自行试点项目收益专项债券收入安排的支出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220" w:lineRule="exact"/>
              <w:rPr>
                <w:rFonts w:ascii="宋体" w:hAnsi="宋体" w:cs="宋体"/>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220" w:lineRule="exact"/>
              <w:rPr>
                <w:rFonts w:ascii="Tahoma" w:hAnsi="Tahoma" w:eastAsia="Tahoma" w:cs="Tahoma"/>
                <w:color w:val="000000"/>
                <w:sz w:val="22"/>
                <w:szCs w:val="22"/>
              </w:rPr>
            </w:pPr>
          </w:p>
        </w:tc>
      </w:tr>
    </w:tbl>
    <w:p>
      <w:pPr>
        <w:spacing w:line="220" w:lineRule="exact"/>
      </w:pPr>
    </w:p>
    <w:tbl>
      <w:tblPr>
        <w:tblStyle w:val="7"/>
        <w:tblW w:w="10515" w:type="dxa"/>
        <w:tblInd w:w="-962" w:type="dxa"/>
        <w:tblLayout w:type="fixed"/>
        <w:tblCellMar>
          <w:top w:w="0" w:type="dxa"/>
          <w:left w:w="0" w:type="dxa"/>
          <w:bottom w:w="0" w:type="dxa"/>
          <w:right w:w="0" w:type="dxa"/>
        </w:tblCellMar>
      </w:tblPr>
      <w:tblGrid>
        <w:gridCol w:w="675"/>
        <w:gridCol w:w="2190"/>
        <w:gridCol w:w="765"/>
        <w:gridCol w:w="2685"/>
        <w:gridCol w:w="840"/>
        <w:gridCol w:w="960"/>
        <w:gridCol w:w="1110"/>
        <w:gridCol w:w="1290"/>
      </w:tblGrid>
      <w:tr>
        <w:tblPrEx>
          <w:tblCellMar>
            <w:top w:w="0" w:type="dxa"/>
            <w:left w:w="0" w:type="dxa"/>
            <w:bottom w:w="0" w:type="dxa"/>
            <w:right w:w="0" w:type="dxa"/>
          </w:tblCellMar>
        </w:tblPrEx>
        <w:trPr>
          <w:trHeight w:val="519" w:hRule="atLeast"/>
        </w:trPr>
        <w:tc>
          <w:tcPr>
            <w:tcW w:w="10515"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单位预算财政拨款收支总表</w:t>
            </w:r>
          </w:p>
        </w:tc>
      </w:tr>
      <w:tr>
        <w:tblPrEx>
          <w:tblCellMar>
            <w:top w:w="0" w:type="dxa"/>
            <w:left w:w="0" w:type="dxa"/>
            <w:bottom w:w="0" w:type="dxa"/>
            <w:right w:w="0" w:type="dxa"/>
          </w:tblCellMar>
        </w:tblPrEx>
        <w:trPr>
          <w:trHeight w:val="360" w:hRule="atLeast"/>
        </w:trPr>
        <w:tc>
          <w:tcPr>
            <w:tcW w:w="6315"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预算单位编码及名称：[332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800"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2400"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319"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序号</w:t>
            </w:r>
          </w:p>
        </w:tc>
        <w:tc>
          <w:tcPr>
            <w:tcW w:w="29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收入</w:t>
            </w:r>
          </w:p>
        </w:tc>
        <w:tc>
          <w:tcPr>
            <w:tcW w:w="68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支出</w:t>
            </w:r>
          </w:p>
        </w:tc>
      </w:tr>
      <w:tr>
        <w:tblPrEx>
          <w:tblCellMar>
            <w:top w:w="0" w:type="dxa"/>
            <w:left w:w="0" w:type="dxa"/>
            <w:bottom w:w="0" w:type="dxa"/>
            <w:right w:w="0" w:type="dxa"/>
          </w:tblCellMar>
        </w:tblPrEx>
        <w:trPr>
          <w:trHeight w:val="66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center"/>
              <w:rPr>
                <w:rFonts w:ascii="宋体" w:hAnsi="宋体" w:cs="宋体"/>
                <w:color w:val="000000"/>
                <w:sz w:val="16"/>
                <w:szCs w:val="16"/>
              </w:rPr>
            </w:pP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    目</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金额</w:t>
            </w: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    目</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一般公共预算财政拨款</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政府性基金预算财政拨款</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国有资本经营预算财政拨款</w:t>
            </w: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栏次</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w:t>
            </w: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6</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7</w:t>
            </w: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一、一般公共预算拨款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3206.47</w:t>
            </w: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一、一般公共服务支出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二、政府性基金预算拨款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780.19</w:t>
            </w: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二、外交支出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三、国有资本经营预算拨款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三、国防支出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四、公共安全支出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5</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五、教育支出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6</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六、科学技术支出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7</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七、文化旅游体育与传媒支出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8</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八、社会保障和就业支出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21.43</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19.69</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1.74</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9</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九、社会保险基金支出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10</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十、卫生健康支出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10.34</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10.34</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11</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十一、节能环保支出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1922.00</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1922.00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12</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十二、城乡社区支出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13</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十三、农林水支出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1239.67</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1239.67</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6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14</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十四、交通运输支出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7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15</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十五、资源勘探工业信息等支出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6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16</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十六、商业服务业等支出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9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17</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十七、金融支出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18</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十八、援助其他地区支出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19</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十九、自然资源海洋气象等支出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20</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二十、住房保障支出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14.77</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14.77</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7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21</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二十一、粮油物资储备支出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6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22</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二十二、国有资本经营预算支出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6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23</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二十三、灾害防治及应急管理支出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3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24</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二十四、预备费</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4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25</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二十五、其他支出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778.45</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778.45</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4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26</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二十六、转移性支出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4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27</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二十七、债务还本支出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3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28</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二十八、债务付息支出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4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29</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二十九、债务发行费用支出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4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30</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三十、抗疫特别国债安排的支出</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6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31</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本年收入合计</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3986.66</w:t>
            </w: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本年支出合计</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3986.66</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3206.47</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780.19</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7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32</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年初财政拨款结转和结余</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年末财政拨款结转和结余</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33</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一、一般公共预算拨款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3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34</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二、政府性基金预算拨款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264"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35</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三、国有资本经营预算拨款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180" w:lineRule="exact"/>
              <w:rPr>
                <w:rFonts w:ascii="宋体" w:hAnsi="宋体" w:cs="宋体"/>
                <w:color w:val="000000"/>
                <w:sz w:val="16"/>
                <w:szCs w:val="16"/>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r>
        <w:tblPrEx>
          <w:tblCellMar>
            <w:top w:w="0" w:type="dxa"/>
            <w:left w:w="0" w:type="dxa"/>
            <w:bottom w:w="0" w:type="dxa"/>
            <w:right w:w="0" w:type="dxa"/>
          </w:tblCellMar>
        </w:tblPrEx>
        <w:trPr>
          <w:trHeight w:val="319"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36</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收入总计</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3986.66</w:t>
            </w:r>
          </w:p>
        </w:tc>
        <w:tc>
          <w:tcPr>
            <w:tcW w:w="26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支出总计</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3986.66</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3206.47</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80" w:lineRule="exact"/>
              <w:jc w:val="right"/>
              <w:textAlignment w:val="center"/>
              <w:rPr>
                <w:rFonts w:ascii="宋体" w:hAnsi="宋体" w:cs="宋体"/>
                <w:color w:val="000000"/>
                <w:sz w:val="16"/>
                <w:szCs w:val="16"/>
              </w:rPr>
            </w:pPr>
            <w:r>
              <w:rPr>
                <w:rFonts w:hint="eastAsia" w:ascii="宋体" w:hAnsi="宋体" w:cs="宋体"/>
                <w:color w:val="000000"/>
                <w:kern w:val="0"/>
                <w:sz w:val="16"/>
                <w:szCs w:val="16"/>
                <w:lang w:bidi="ar"/>
              </w:rPr>
              <w:t>780.19</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180" w:lineRule="exact"/>
              <w:rPr>
                <w:rFonts w:ascii="Tahoma" w:hAnsi="Tahoma" w:eastAsia="Tahoma" w:cs="Tahoma"/>
                <w:color w:val="000000"/>
                <w:szCs w:val="21"/>
              </w:rPr>
            </w:pPr>
          </w:p>
        </w:tc>
      </w:tr>
    </w:tbl>
    <w:p>
      <w:pPr>
        <w:spacing w:line="180" w:lineRule="exact"/>
        <w:rPr>
          <w:sz w:val="20"/>
          <w:szCs w:val="22"/>
        </w:rPr>
      </w:pPr>
    </w:p>
    <w:tbl>
      <w:tblPr>
        <w:tblStyle w:val="7"/>
        <w:tblW w:w="10065" w:type="dxa"/>
        <w:tblInd w:w="-857" w:type="dxa"/>
        <w:tblLayout w:type="fixed"/>
        <w:tblCellMar>
          <w:top w:w="0" w:type="dxa"/>
          <w:left w:w="0" w:type="dxa"/>
          <w:bottom w:w="0" w:type="dxa"/>
          <w:right w:w="0" w:type="dxa"/>
        </w:tblCellMar>
      </w:tblPr>
      <w:tblGrid>
        <w:gridCol w:w="1155"/>
        <w:gridCol w:w="990"/>
        <w:gridCol w:w="2700"/>
        <w:gridCol w:w="1125"/>
        <w:gridCol w:w="1035"/>
        <w:gridCol w:w="975"/>
        <w:gridCol w:w="945"/>
        <w:gridCol w:w="1140"/>
      </w:tblGrid>
      <w:tr>
        <w:tblPrEx>
          <w:tblCellMar>
            <w:top w:w="0" w:type="dxa"/>
            <w:left w:w="0" w:type="dxa"/>
            <w:bottom w:w="0" w:type="dxa"/>
            <w:right w:w="0" w:type="dxa"/>
          </w:tblCellMar>
        </w:tblPrEx>
        <w:trPr>
          <w:trHeight w:val="885" w:hRule="atLeast"/>
        </w:trPr>
        <w:tc>
          <w:tcPr>
            <w:tcW w:w="10065"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单位预算一般公共预算财政拨款支出表</w:t>
            </w:r>
          </w:p>
        </w:tc>
      </w:tr>
      <w:tr>
        <w:tblPrEx>
          <w:tblCellMar>
            <w:top w:w="0" w:type="dxa"/>
            <w:left w:w="0" w:type="dxa"/>
            <w:bottom w:w="0" w:type="dxa"/>
            <w:right w:w="0" w:type="dxa"/>
          </w:tblCellMar>
        </w:tblPrEx>
        <w:trPr>
          <w:trHeight w:val="540" w:hRule="atLeast"/>
        </w:trPr>
        <w:tc>
          <w:tcPr>
            <w:tcW w:w="7005"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预算单位编码及名称：[332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920"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114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499" w:hRule="atLeast"/>
        </w:trPr>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36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支出功能分类科目</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29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基本支出</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项目支出</w:t>
            </w:r>
          </w:p>
        </w:tc>
      </w:tr>
      <w:tr>
        <w:tblPrEx>
          <w:tblCellMar>
            <w:top w:w="0" w:type="dxa"/>
            <w:left w:w="0" w:type="dxa"/>
            <w:bottom w:w="0" w:type="dxa"/>
            <w:right w:w="0" w:type="dxa"/>
          </w:tblCellMar>
        </w:tblPrEx>
        <w:trPr>
          <w:trHeight w:val="499"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小计</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人员经费</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公用经费</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3206.47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278.51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266.70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11.81</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2927.96</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机关事业单位基本养老保险缴费支出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行政单位医疗</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生态保护</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1922.00</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农林水支出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233.71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221.90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11.81</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1005.96</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1239.67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233.71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221.90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11.81</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1005.96</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2130301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行政运行</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403.71</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233.71</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221.90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11.81</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170.00</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2130306</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水利工程运行与维护</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185.60</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185.60</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2130399</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其他水利支出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650.36</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650.36</w:t>
            </w: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27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住房公积金</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bl>
    <w:p>
      <w:pPr>
        <w:spacing w:line="180" w:lineRule="exact"/>
        <w:rPr>
          <w:sz w:val="20"/>
          <w:szCs w:val="22"/>
        </w:rPr>
      </w:pPr>
    </w:p>
    <w:p>
      <w:pPr>
        <w:spacing w:line="180" w:lineRule="exact"/>
        <w:rPr>
          <w:sz w:val="20"/>
          <w:szCs w:val="22"/>
        </w:rPr>
      </w:pPr>
    </w:p>
    <w:p>
      <w:pPr>
        <w:spacing w:line="180" w:lineRule="exact"/>
        <w:rPr>
          <w:sz w:val="20"/>
          <w:szCs w:val="22"/>
        </w:rPr>
      </w:pPr>
    </w:p>
    <w:p>
      <w:pPr>
        <w:spacing w:line="180" w:lineRule="exact"/>
        <w:rPr>
          <w:sz w:val="20"/>
          <w:szCs w:val="22"/>
        </w:rPr>
      </w:pPr>
    </w:p>
    <w:p>
      <w:pPr>
        <w:spacing w:line="180" w:lineRule="exact"/>
        <w:rPr>
          <w:sz w:val="20"/>
          <w:szCs w:val="22"/>
        </w:rPr>
      </w:pPr>
    </w:p>
    <w:p>
      <w:pPr>
        <w:spacing w:line="180" w:lineRule="exact"/>
        <w:rPr>
          <w:sz w:val="20"/>
          <w:szCs w:val="22"/>
        </w:rPr>
      </w:pPr>
    </w:p>
    <w:p>
      <w:pPr>
        <w:spacing w:line="180" w:lineRule="exact"/>
        <w:rPr>
          <w:sz w:val="20"/>
          <w:szCs w:val="22"/>
        </w:rPr>
      </w:pPr>
    </w:p>
    <w:p>
      <w:pPr>
        <w:spacing w:line="180" w:lineRule="exact"/>
        <w:rPr>
          <w:sz w:val="20"/>
          <w:szCs w:val="22"/>
        </w:rPr>
      </w:pPr>
    </w:p>
    <w:tbl>
      <w:tblPr>
        <w:tblStyle w:val="7"/>
        <w:tblpPr w:leftFromText="180" w:rightFromText="180" w:vertAnchor="text" w:horzAnchor="page" w:tblpX="1169" w:tblpY="227"/>
        <w:tblOverlap w:val="never"/>
        <w:tblW w:w="9150" w:type="dxa"/>
        <w:tblInd w:w="0" w:type="dxa"/>
        <w:tblLayout w:type="fixed"/>
        <w:tblCellMar>
          <w:top w:w="0" w:type="dxa"/>
          <w:left w:w="0" w:type="dxa"/>
          <w:bottom w:w="0" w:type="dxa"/>
          <w:right w:w="0" w:type="dxa"/>
        </w:tblCellMar>
      </w:tblPr>
      <w:tblGrid>
        <w:gridCol w:w="1080"/>
        <w:gridCol w:w="1080"/>
        <w:gridCol w:w="2640"/>
        <w:gridCol w:w="1410"/>
        <w:gridCol w:w="1365"/>
        <w:gridCol w:w="1575"/>
      </w:tblGrid>
      <w:tr>
        <w:tblPrEx>
          <w:tblCellMar>
            <w:top w:w="0" w:type="dxa"/>
            <w:left w:w="0" w:type="dxa"/>
            <w:bottom w:w="0" w:type="dxa"/>
            <w:right w:w="0" w:type="dxa"/>
          </w:tblCellMar>
        </w:tblPrEx>
        <w:trPr>
          <w:trHeight w:val="795" w:hRule="atLeast"/>
        </w:trPr>
        <w:tc>
          <w:tcPr>
            <w:tcW w:w="915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单位预算一般公共预算财政拨款基本支出表</w:t>
            </w:r>
          </w:p>
        </w:tc>
      </w:tr>
      <w:tr>
        <w:tblPrEx>
          <w:tblCellMar>
            <w:top w:w="0" w:type="dxa"/>
            <w:left w:w="0" w:type="dxa"/>
            <w:bottom w:w="0" w:type="dxa"/>
            <w:right w:w="0" w:type="dxa"/>
          </w:tblCellMar>
        </w:tblPrEx>
        <w:trPr>
          <w:trHeight w:val="285" w:hRule="atLeast"/>
        </w:trPr>
        <w:tc>
          <w:tcPr>
            <w:tcW w:w="621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预算单位编码及名称：[332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36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157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402"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37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支出部门经济分类科目</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一般公共预算基本支出</w:t>
            </w:r>
          </w:p>
        </w:tc>
      </w:tr>
      <w:tr>
        <w:tblPrEx>
          <w:tblCellMar>
            <w:top w:w="0" w:type="dxa"/>
            <w:left w:w="0" w:type="dxa"/>
            <w:bottom w:w="0" w:type="dxa"/>
            <w:right w:w="0" w:type="dxa"/>
          </w:tblCellMar>
        </w:tblPrEx>
        <w:trPr>
          <w:trHeight w:val="40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人员经费</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公用经费</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278.51</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266.70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11.81</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工资福利支出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173.27</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173.27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基本工资</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90.44</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90.44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津贴补贴</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12.78</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30103</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奖金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2.64</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30107</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绩效工资</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21.22</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21.22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30108</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机关事业单位基本养老保险缴费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19.69</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30110</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城镇职工基本医疗保险缴费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10.34</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其他社会保障缴费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1.17</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30113</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住房公积金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14.77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30199</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其他工资福利支出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0.22</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0.22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商品和服务支出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11.81</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themeColor="text1"/>
                <w:sz w:val="18"/>
                <w:szCs w:val="18"/>
              </w:rPr>
            </w:pPr>
            <w:r>
              <w:rPr>
                <w:rFonts w:hint="eastAsia" w:ascii="宋体" w:hAnsi="宋体" w:cs="宋体"/>
                <w:color w:val="000000" w:themeColor="text1"/>
                <w:kern w:val="0"/>
                <w:sz w:val="18"/>
                <w:szCs w:val="18"/>
                <w:lang w:bidi="ar"/>
              </w:rPr>
              <w:t>11.81</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办公费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0.30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themeColor="text1"/>
                <w:sz w:val="18"/>
                <w:szCs w:val="18"/>
              </w:rPr>
            </w:pPr>
            <w:r>
              <w:rPr>
                <w:rFonts w:hint="eastAsia" w:ascii="宋体" w:hAnsi="宋体" w:cs="宋体"/>
                <w:color w:val="000000" w:themeColor="text1"/>
                <w:kern w:val="0"/>
                <w:sz w:val="18"/>
                <w:szCs w:val="18"/>
                <w:lang w:bidi="ar"/>
              </w:rPr>
              <w:t>0.30</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30206</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电费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themeColor="text1"/>
                <w:sz w:val="18"/>
                <w:szCs w:val="18"/>
              </w:rPr>
            </w:pPr>
            <w:r>
              <w:rPr>
                <w:rFonts w:hint="eastAsia" w:ascii="宋体" w:hAnsi="宋体" w:cs="宋体"/>
                <w:color w:val="000000" w:themeColor="text1"/>
                <w:kern w:val="0"/>
                <w:sz w:val="18"/>
                <w:szCs w:val="18"/>
                <w:lang w:bidi="ar"/>
              </w:rPr>
              <w:t>1.50</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30207</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邮电费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0.50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themeColor="text1"/>
                <w:sz w:val="18"/>
                <w:szCs w:val="18"/>
              </w:rPr>
            </w:pPr>
            <w:r>
              <w:rPr>
                <w:rFonts w:hint="eastAsia" w:ascii="宋体" w:hAnsi="宋体" w:cs="宋体"/>
                <w:color w:val="000000" w:themeColor="text1"/>
                <w:kern w:val="0"/>
                <w:sz w:val="18"/>
                <w:szCs w:val="18"/>
                <w:lang w:bidi="ar"/>
              </w:rPr>
              <w:t>0.50</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30208</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取暖费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3.70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themeColor="text1"/>
                <w:sz w:val="18"/>
                <w:szCs w:val="18"/>
              </w:rPr>
            </w:pPr>
            <w:r>
              <w:rPr>
                <w:rFonts w:hint="eastAsia" w:ascii="宋体" w:hAnsi="宋体" w:cs="宋体"/>
                <w:color w:val="000000" w:themeColor="text1"/>
                <w:kern w:val="0"/>
                <w:sz w:val="18"/>
                <w:szCs w:val="18"/>
                <w:lang w:bidi="ar"/>
              </w:rPr>
              <w:t>3.70</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30239</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其他交通费用</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5.28</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themeColor="text1"/>
                <w:sz w:val="18"/>
                <w:szCs w:val="18"/>
              </w:rPr>
            </w:pPr>
            <w:r>
              <w:rPr>
                <w:rFonts w:hint="eastAsia" w:ascii="宋体" w:hAnsi="宋体" w:cs="宋体"/>
                <w:color w:val="000000" w:themeColor="text1"/>
                <w:kern w:val="0"/>
                <w:sz w:val="18"/>
                <w:szCs w:val="18"/>
                <w:lang w:bidi="ar"/>
              </w:rPr>
              <w:t>5.28</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30299</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其他商品和服务支出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0.53</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themeColor="text1"/>
                <w:sz w:val="18"/>
                <w:szCs w:val="18"/>
              </w:rPr>
            </w:pPr>
            <w:r>
              <w:rPr>
                <w:rFonts w:hint="eastAsia" w:ascii="宋体" w:hAnsi="宋体" w:cs="宋体"/>
                <w:color w:val="000000" w:themeColor="text1"/>
                <w:kern w:val="0"/>
                <w:sz w:val="18"/>
                <w:szCs w:val="18"/>
                <w:lang w:bidi="ar"/>
              </w:rPr>
              <w:t>0.53</w:t>
            </w: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对个人和家庭的补助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93.43</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93.43</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30301</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离休费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9.27</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9.27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30302</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退休费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11.47</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11.47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30304</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抚恤金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22.52</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22.52</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30305</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生活补助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9.67</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9.67</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30399</w:t>
            </w:r>
          </w:p>
        </w:tc>
        <w:tc>
          <w:tcPr>
            <w:tcW w:w="2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其他对个人和家庭的补助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40.50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40.50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r>
    </w:tbl>
    <w:p>
      <w:pPr>
        <w:spacing w:line="180" w:lineRule="exact"/>
        <w:rPr>
          <w:sz w:val="20"/>
          <w:szCs w:val="22"/>
        </w:rPr>
      </w:pPr>
    </w:p>
    <w:p/>
    <w:p>
      <w:pPr>
        <w:jc w:val="left"/>
      </w:pPr>
    </w:p>
    <w:p>
      <w:pPr>
        <w:jc w:val="left"/>
      </w:pPr>
    </w:p>
    <w:tbl>
      <w:tblPr>
        <w:tblStyle w:val="7"/>
        <w:tblpPr w:leftFromText="180" w:rightFromText="180" w:vertAnchor="text" w:horzAnchor="page" w:tblpX="914" w:tblpY="405"/>
        <w:tblOverlap w:val="never"/>
        <w:tblW w:w="9825" w:type="dxa"/>
        <w:tblInd w:w="0" w:type="dxa"/>
        <w:tblLayout w:type="fixed"/>
        <w:tblCellMar>
          <w:top w:w="0" w:type="dxa"/>
          <w:left w:w="0" w:type="dxa"/>
          <w:bottom w:w="0" w:type="dxa"/>
          <w:right w:w="0" w:type="dxa"/>
        </w:tblCellMar>
      </w:tblPr>
      <w:tblGrid>
        <w:gridCol w:w="914"/>
        <w:gridCol w:w="1001"/>
        <w:gridCol w:w="4172"/>
        <w:gridCol w:w="1165"/>
        <w:gridCol w:w="1252"/>
        <w:gridCol w:w="1321"/>
      </w:tblGrid>
      <w:tr>
        <w:tblPrEx>
          <w:tblCellMar>
            <w:top w:w="0" w:type="dxa"/>
            <w:left w:w="0" w:type="dxa"/>
            <w:bottom w:w="0" w:type="dxa"/>
            <w:right w:w="0" w:type="dxa"/>
          </w:tblCellMar>
        </w:tblPrEx>
        <w:trPr>
          <w:trHeight w:val="1200" w:hRule="atLeast"/>
        </w:trPr>
        <w:tc>
          <w:tcPr>
            <w:tcW w:w="9825"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单位预算政府基金预算财政拨款支出表</w:t>
            </w:r>
          </w:p>
        </w:tc>
      </w:tr>
      <w:tr>
        <w:tblPrEx>
          <w:tblCellMar>
            <w:top w:w="0" w:type="dxa"/>
            <w:left w:w="0" w:type="dxa"/>
            <w:bottom w:w="0" w:type="dxa"/>
            <w:right w:w="0" w:type="dxa"/>
          </w:tblCellMar>
        </w:tblPrEx>
        <w:trPr>
          <w:trHeight w:val="765" w:hRule="atLeast"/>
        </w:trPr>
        <w:tc>
          <w:tcPr>
            <w:tcW w:w="7252"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预算单位编码及名称：[332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252"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1321"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402" w:hRule="atLeast"/>
        </w:trPr>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51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支出功能分类科目</w:t>
            </w:r>
          </w:p>
        </w:tc>
        <w:tc>
          <w:tcPr>
            <w:tcW w:w="11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2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基本支出</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项目支出</w:t>
            </w:r>
          </w:p>
        </w:tc>
      </w:tr>
      <w:tr>
        <w:tblPrEx>
          <w:tblCellMar>
            <w:top w:w="0" w:type="dxa"/>
            <w:left w:w="0" w:type="dxa"/>
            <w:bottom w:w="0" w:type="dxa"/>
            <w:right w:w="0" w:type="dxa"/>
          </w:tblCellMar>
        </w:tblPrEx>
        <w:trPr>
          <w:trHeight w:val="402" w:hRule="atLeast"/>
        </w:trPr>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11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2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780.19</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780.19</w:t>
            </w: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20822</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大中型水库移民后期扶持基金支出</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2082201</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移民补助</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1.74</w:t>
            </w: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其他支出</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22904</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其他政府性基金及对应专项债务收入安排的支出</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r>
      <w:tr>
        <w:tblPrEx>
          <w:tblCellMar>
            <w:top w:w="0" w:type="dxa"/>
            <w:left w:w="0" w:type="dxa"/>
            <w:bottom w:w="0" w:type="dxa"/>
            <w:right w:w="0" w:type="dxa"/>
          </w:tblCellMar>
        </w:tblPrEx>
        <w:trPr>
          <w:trHeight w:val="402"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1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2290402</w:t>
            </w:r>
          </w:p>
        </w:tc>
        <w:tc>
          <w:tcPr>
            <w:tcW w:w="4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其他地方自行试点项目收益专项债券收入安排的支出</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ascii="宋体" w:hAnsi="宋体" w:cs="宋体"/>
                <w:color w:val="000000"/>
                <w:sz w:val="18"/>
                <w:szCs w:val="18"/>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778.45</w:t>
            </w:r>
          </w:p>
        </w:tc>
      </w:tr>
    </w:tbl>
    <w:p>
      <w:pPr>
        <w:jc w:val="left"/>
      </w:pPr>
    </w:p>
    <w:p/>
    <w:p/>
    <w:p/>
    <w:p/>
    <w:p/>
    <w:p/>
    <w:p/>
    <w:p/>
    <w:p/>
    <w:p/>
    <w:p/>
    <w:p/>
    <w:p/>
    <w:p/>
    <w:p/>
    <w:p/>
    <w:p/>
    <w:p/>
    <w:p/>
    <w:p/>
    <w:tbl>
      <w:tblPr>
        <w:tblStyle w:val="7"/>
        <w:tblpPr w:leftFromText="180" w:rightFromText="180" w:vertAnchor="text" w:horzAnchor="page" w:tblpX="884" w:tblpY="211"/>
        <w:tblOverlap w:val="never"/>
        <w:tblW w:w="9434" w:type="dxa"/>
        <w:tblInd w:w="0" w:type="dxa"/>
        <w:tblLayout w:type="fixed"/>
        <w:tblCellMar>
          <w:top w:w="0" w:type="dxa"/>
          <w:left w:w="0" w:type="dxa"/>
          <w:bottom w:w="0" w:type="dxa"/>
          <w:right w:w="0" w:type="dxa"/>
        </w:tblCellMar>
      </w:tblPr>
      <w:tblGrid>
        <w:gridCol w:w="1290"/>
        <w:gridCol w:w="1605"/>
        <w:gridCol w:w="1304"/>
        <w:gridCol w:w="1140"/>
        <w:gridCol w:w="1620"/>
        <w:gridCol w:w="2475"/>
      </w:tblGrid>
      <w:tr>
        <w:tblPrEx>
          <w:tblCellMar>
            <w:top w:w="0" w:type="dxa"/>
            <w:left w:w="0" w:type="dxa"/>
            <w:bottom w:w="0" w:type="dxa"/>
            <w:right w:w="0" w:type="dxa"/>
          </w:tblCellMar>
        </w:tblPrEx>
        <w:trPr>
          <w:trHeight w:val="1290" w:hRule="atLeast"/>
        </w:trPr>
        <w:tc>
          <w:tcPr>
            <w:tcW w:w="9434"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单位预算国有资本经营预算财政拨款支出表</w:t>
            </w:r>
          </w:p>
        </w:tc>
      </w:tr>
      <w:tr>
        <w:tblPrEx>
          <w:tblCellMar>
            <w:top w:w="0" w:type="dxa"/>
            <w:left w:w="0" w:type="dxa"/>
            <w:bottom w:w="0" w:type="dxa"/>
            <w:right w:w="0" w:type="dxa"/>
          </w:tblCellMar>
        </w:tblPrEx>
        <w:trPr>
          <w:trHeight w:val="450" w:hRule="atLeast"/>
        </w:trPr>
        <w:tc>
          <w:tcPr>
            <w:tcW w:w="5339"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部门编码及名称：[332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62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247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499" w:hRule="atLeast"/>
        </w:trPr>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29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基本支出</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项目支出</w:t>
            </w:r>
          </w:p>
        </w:tc>
      </w:tr>
      <w:tr>
        <w:tblPrEx>
          <w:tblCellMar>
            <w:top w:w="0" w:type="dxa"/>
            <w:left w:w="0" w:type="dxa"/>
            <w:bottom w:w="0" w:type="dxa"/>
            <w:right w:w="0" w:type="dxa"/>
          </w:tblCellMar>
        </w:tblPrEx>
        <w:trPr>
          <w:trHeight w:val="499" w:hRule="atLeast"/>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功能分类科目编码</w:t>
            </w:r>
          </w:p>
        </w:tc>
        <w:tc>
          <w:tcPr>
            <w:tcW w:w="13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499"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3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r>
      <w:tr>
        <w:tblPrEx>
          <w:tblCellMar>
            <w:top w:w="0" w:type="dxa"/>
            <w:left w:w="0" w:type="dxa"/>
            <w:bottom w:w="0" w:type="dxa"/>
            <w:right w:w="0" w:type="dxa"/>
          </w:tblCellMar>
        </w:tblPrEx>
        <w:trPr>
          <w:trHeight w:val="499"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18"/>
                <w:szCs w:val="18"/>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92" w:hRule="atLeast"/>
        </w:trPr>
        <w:tc>
          <w:tcPr>
            <w:tcW w:w="9434" w:type="dxa"/>
            <w:gridSpan w:val="6"/>
            <w:tcBorders>
              <w:top w:val="single" w:color="000000" w:sz="4" w:space="0"/>
              <w:left w:val="nil"/>
              <w:bottom w:val="nil"/>
              <w:right w:val="nil"/>
            </w:tcBorders>
            <w:shd w:val="clear" w:color="auto" w:fill="auto"/>
            <w:tcMar>
              <w:top w:w="15" w:type="dxa"/>
              <w:left w:w="15" w:type="dxa"/>
              <w:right w:w="15" w:type="dxa"/>
            </w:tcMar>
            <w:vAlign w:val="bottom"/>
          </w:tcPr>
          <w:p>
            <w:pPr>
              <w:widowControl/>
              <w:jc w:val="center"/>
              <w:textAlignment w:val="bottom"/>
              <w:rPr>
                <w:rFonts w:ascii="宋体" w:hAnsi="宋体" w:cs="宋体"/>
                <w:color w:val="000000"/>
                <w:sz w:val="22"/>
                <w:szCs w:val="22"/>
              </w:rPr>
            </w:pPr>
            <w:r>
              <w:rPr>
                <w:rFonts w:hint="eastAsia" w:ascii="宋体" w:hAnsi="宋体" w:cs="宋体"/>
                <w:kern w:val="0"/>
                <w:sz w:val="22"/>
                <w:szCs w:val="22"/>
                <w:lang w:bidi="ar"/>
              </w:rPr>
              <w:t>备注：无单位预算国有资本经营预算财政拨款支出空表列示</w:t>
            </w:r>
          </w:p>
        </w:tc>
      </w:tr>
    </w:tbl>
    <w:p/>
    <w:p>
      <w:pPr>
        <w:ind w:firstLine="493"/>
        <w:jc w:val="left"/>
      </w:pPr>
    </w:p>
    <w:p>
      <w:pPr>
        <w:jc w:val="left"/>
        <w:sectPr>
          <w:pgSz w:w="11906" w:h="16838"/>
          <w:pgMar w:top="1440" w:right="1800" w:bottom="1440" w:left="1800" w:header="851" w:footer="992" w:gutter="0"/>
          <w:cols w:space="720" w:num="1"/>
          <w:docGrid w:type="lines" w:linePitch="312" w:charSpace="0"/>
        </w:sectPr>
      </w:pPr>
    </w:p>
    <w:p>
      <w:pPr>
        <w:jc w:val="left"/>
      </w:pPr>
    </w:p>
    <w:tbl>
      <w:tblPr>
        <w:tblStyle w:val="7"/>
        <w:tblpPr w:leftFromText="180" w:rightFromText="180" w:vertAnchor="text" w:horzAnchor="page" w:tblpX="1169" w:tblpY="363"/>
        <w:tblOverlap w:val="never"/>
        <w:tblW w:w="9690" w:type="dxa"/>
        <w:tblInd w:w="0" w:type="dxa"/>
        <w:tblLayout w:type="fixed"/>
        <w:tblCellMar>
          <w:top w:w="0" w:type="dxa"/>
          <w:left w:w="0" w:type="dxa"/>
          <w:bottom w:w="0" w:type="dxa"/>
          <w:right w:w="0" w:type="dxa"/>
        </w:tblCellMar>
      </w:tblPr>
      <w:tblGrid>
        <w:gridCol w:w="1474"/>
        <w:gridCol w:w="2415"/>
        <w:gridCol w:w="1091"/>
        <w:gridCol w:w="1200"/>
        <w:gridCol w:w="1080"/>
        <w:gridCol w:w="1290"/>
        <w:gridCol w:w="1140"/>
      </w:tblGrid>
      <w:tr>
        <w:tblPrEx>
          <w:tblCellMar>
            <w:top w:w="0" w:type="dxa"/>
            <w:left w:w="0" w:type="dxa"/>
            <w:bottom w:w="0" w:type="dxa"/>
            <w:right w:w="0" w:type="dxa"/>
          </w:tblCellMar>
        </w:tblPrEx>
        <w:trPr>
          <w:trHeight w:val="975" w:hRule="atLeast"/>
        </w:trPr>
        <w:tc>
          <w:tcPr>
            <w:tcW w:w="96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43"/>
                <w:szCs w:val="43"/>
              </w:rPr>
            </w:pPr>
            <w:r>
              <w:rPr>
                <w:rFonts w:hint="eastAsia" w:ascii="宋体" w:hAnsi="宋体" w:cs="宋体"/>
                <w:b/>
                <w:color w:val="000000"/>
                <w:kern w:val="0"/>
                <w:sz w:val="43"/>
                <w:szCs w:val="43"/>
                <w:lang w:bidi="ar"/>
              </w:rPr>
              <w:t>单位预算财政拨款“三公”经费支出表</w:t>
            </w:r>
          </w:p>
        </w:tc>
      </w:tr>
      <w:tr>
        <w:tblPrEx>
          <w:tblCellMar>
            <w:top w:w="0" w:type="dxa"/>
            <w:left w:w="0" w:type="dxa"/>
            <w:bottom w:w="0" w:type="dxa"/>
            <w:right w:w="0" w:type="dxa"/>
          </w:tblCellMar>
        </w:tblPrEx>
        <w:trPr>
          <w:trHeight w:val="630" w:hRule="atLeast"/>
        </w:trPr>
        <w:tc>
          <w:tcPr>
            <w:tcW w:w="7260"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部门编码及名称：[332</w:t>
            </w:r>
            <w:r>
              <w:rPr>
                <w:rFonts w:ascii="宋体" w:hAnsi="宋体" w:cs="宋体"/>
                <w:color w:val="000000"/>
                <w:kern w:val="0"/>
                <w:sz w:val="18"/>
                <w:szCs w:val="18"/>
                <w:lang w:bidi="ar"/>
              </w:rPr>
              <w:t>001</w:t>
            </w:r>
            <w:r>
              <w:rPr>
                <w:rFonts w:hint="eastAsia" w:ascii="宋体" w:hAnsi="宋体" w:cs="宋体"/>
                <w:color w:val="000000"/>
                <w:kern w:val="0"/>
                <w:sz w:val="18"/>
                <w:szCs w:val="18"/>
                <w:lang w:bidi="ar"/>
              </w:rPr>
              <w:t>]深泽县水利局本级</w:t>
            </w:r>
          </w:p>
        </w:tc>
        <w:tc>
          <w:tcPr>
            <w:tcW w:w="129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预算年度：2021</w:t>
            </w:r>
          </w:p>
        </w:tc>
        <w:tc>
          <w:tcPr>
            <w:tcW w:w="114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金额单位：万元</w:t>
            </w:r>
          </w:p>
        </w:tc>
      </w:tr>
      <w:tr>
        <w:tblPrEx>
          <w:tblCellMar>
            <w:top w:w="0" w:type="dxa"/>
            <w:left w:w="0" w:type="dxa"/>
            <w:bottom w:w="0" w:type="dxa"/>
            <w:right w:w="0" w:type="dxa"/>
          </w:tblCellMar>
        </w:tblPrEx>
        <w:trPr>
          <w:trHeight w:val="402" w:hRule="atLeast"/>
        </w:trPr>
        <w:tc>
          <w:tcPr>
            <w:tcW w:w="14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序号</w:t>
            </w:r>
          </w:p>
        </w:tc>
        <w:tc>
          <w:tcPr>
            <w:tcW w:w="24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  目</w:t>
            </w:r>
          </w:p>
        </w:tc>
        <w:tc>
          <w:tcPr>
            <w:tcW w:w="580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资金来源</w:t>
            </w:r>
          </w:p>
        </w:tc>
      </w:tr>
      <w:tr>
        <w:tblPrEx>
          <w:tblCellMar>
            <w:top w:w="0" w:type="dxa"/>
            <w:left w:w="0" w:type="dxa"/>
            <w:bottom w:w="0" w:type="dxa"/>
            <w:right w:w="0" w:type="dxa"/>
          </w:tblCellMar>
        </w:tblPrEx>
        <w:trPr>
          <w:trHeight w:val="675" w:hRule="atLeast"/>
        </w:trPr>
        <w:tc>
          <w:tcPr>
            <w:tcW w:w="14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24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政府性基金财政拨款</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国有资本经营预算财政拨款</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财政专户核拨资金</w:t>
            </w:r>
          </w:p>
        </w:tc>
      </w:tr>
      <w:tr>
        <w:tblPrEx>
          <w:tblCellMar>
            <w:top w:w="0" w:type="dxa"/>
            <w:left w:w="0" w:type="dxa"/>
            <w:bottom w:w="0" w:type="dxa"/>
            <w:right w:w="0" w:type="dxa"/>
          </w:tblCellMar>
        </w:tblPrEx>
        <w:trPr>
          <w:trHeight w:val="402"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2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r>
      <w:tr>
        <w:tblPrEx>
          <w:tblCellMar>
            <w:top w:w="0" w:type="dxa"/>
            <w:left w:w="0" w:type="dxa"/>
            <w:bottom w:w="0" w:type="dxa"/>
            <w:right w:w="0" w:type="dxa"/>
          </w:tblCellMar>
        </w:tblPrEx>
        <w:trPr>
          <w:trHeight w:val="402"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合计</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2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一、因公出国（境）费</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2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二、公务用车购置及运维费</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2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其中：公务用车购置费</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2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公务用车运行费</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02" w:hRule="atLeast"/>
        </w:trPr>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2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三、公务接待费</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285" w:hRule="atLeast"/>
        </w:trPr>
        <w:tc>
          <w:tcPr>
            <w:tcW w:w="14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Tahoma" w:hAnsi="Tahoma" w:eastAsia="Tahoma" w:cs="Tahoma"/>
                <w:color w:val="FF0000"/>
                <w:sz w:val="22"/>
                <w:szCs w:val="22"/>
              </w:rPr>
            </w:pPr>
            <w:r>
              <w:rPr>
                <w:rStyle w:val="11"/>
                <w:color w:val="FF0000"/>
                <w:lang w:bidi="ar"/>
              </w:rPr>
              <w:t xml:space="preserve">                          </w:t>
            </w:r>
          </w:p>
        </w:tc>
        <w:tc>
          <w:tcPr>
            <w:tcW w:w="8216" w:type="dxa"/>
            <w:gridSpan w:val="6"/>
            <w:tcBorders>
              <w:top w:val="single" w:color="000000" w:sz="4" w:space="0"/>
              <w:left w:val="nil"/>
              <w:bottom w:val="nil"/>
              <w:right w:val="nil"/>
            </w:tcBorders>
            <w:shd w:val="clear" w:color="auto" w:fill="auto"/>
            <w:tcMar>
              <w:top w:w="15" w:type="dxa"/>
              <w:left w:w="15" w:type="dxa"/>
              <w:right w:w="15" w:type="dxa"/>
            </w:tcMar>
            <w:vAlign w:val="bottom"/>
          </w:tcPr>
          <w:p>
            <w:pPr>
              <w:pStyle w:val="2"/>
              <w:spacing w:line="607" w:lineRule="exact"/>
              <w:ind w:right="4"/>
              <w:rPr>
                <w:rFonts w:ascii="仿宋" w:hAnsi="仿宋" w:eastAsia="仿宋" w:cs="仿宋"/>
                <w:b w:val="0"/>
                <w:bCs w:val="0"/>
                <w:sz w:val="22"/>
                <w:szCs w:val="22"/>
              </w:rPr>
            </w:pPr>
            <w:r>
              <w:rPr>
                <w:rFonts w:hint="eastAsia" w:ascii="宋体" w:hAnsi="宋体" w:eastAsia="宋体" w:cs="宋体"/>
                <w:color w:val="FF0000"/>
                <w:kern w:val="0"/>
                <w:sz w:val="22"/>
                <w:szCs w:val="22"/>
                <w:lang w:bidi="ar"/>
              </w:rPr>
              <w:t xml:space="preserve"> </w:t>
            </w:r>
            <w:r>
              <w:rPr>
                <w:rFonts w:hint="eastAsia" w:ascii="宋体" w:hAnsi="宋体" w:eastAsia="宋体" w:cs="宋体"/>
                <w:color w:val="000000" w:themeColor="text1"/>
                <w:kern w:val="0"/>
                <w:sz w:val="22"/>
                <w:szCs w:val="22"/>
                <w:lang w:bidi="ar"/>
              </w:rPr>
              <w:t xml:space="preserve"> </w:t>
            </w:r>
            <w:r>
              <w:rPr>
                <w:rFonts w:hint="eastAsia" w:ascii="仿宋" w:hAnsi="仿宋" w:eastAsia="仿宋" w:cs="仿宋"/>
                <w:color w:val="000000" w:themeColor="text1"/>
                <w:kern w:val="0"/>
                <w:sz w:val="24"/>
                <w:szCs w:val="24"/>
                <w:lang w:bidi="ar"/>
              </w:rPr>
              <w:t>说明：</w:t>
            </w:r>
            <w:r>
              <w:rPr>
                <w:rFonts w:hint="eastAsia" w:ascii="仿宋" w:hAnsi="仿宋" w:eastAsia="仿宋" w:cs="仿宋"/>
                <w:sz w:val="22"/>
                <w:szCs w:val="22"/>
              </w:rPr>
              <w:t>无单位预算财政拨款“三公”经费支出，空表列示</w:t>
            </w:r>
          </w:p>
          <w:p>
            <w:pPr>
              <w:rPr>
                <w:rFonts w:ascii="Tahoma" w:hAnsi="Tahoma" w:eastAsia="Tahoma" w:cs="Tahoma"/>
                <w:color w:val="FF0000"/>
                <w:sz w:val="22"/>
                <w:szCs w:val="22"/>
              </w:rPr>
            </w:pPr>
            <w:r>
              <w:rPr>
                <w:rFonts w:hint="eastAsia" w:ascii="宋体" w:hAnsi="宋体" w:cs="宋体"/>
                <w:color w:val="000000" w:themeColor="text1"/>
                <w:kern w:val="0"/>
                <w:sz w:val="22"/>
                <w:szCs w:val="22"/>
                <w:lang w:bidi="ar"/>
              </w:rPr>
              <w:t>。</w:t>
            </w:r>
          </w:p>
        </w:tc>
      </w:tr>
    </w:tbl>
    <w:p>
      <w:pPr>
        <w:jc w:val="left"/>
      </w:pPr>
    </w:p>
    <w:p/>
    <w:p/>
    <w:p/>
    <w:p/>
    <w:p/>
    <w:p/>
    <w:p/>
    <w:p/>
    <w:p/>
    <w:p/>
    <w:p/>
    <w:p/>
    <w:p/>
    <w:p>
      <w:pPr>
        <w:tabs>
          <w:tab w:val="left" w:pos="1348"/>
        </w:tabs>
        <w:jc w:val="left"/>
      </w:pPr>
      <w:r>
        <w:rPr>
          <w:rFonts w:hint="eastAsia"/>
        </w:rPr>
        <w:tab/>
      </w:r>
    </w:p>
    <w:p>
      <w:pPr>
        <w:tabs>
          <w:tab w:val="left" w:pos="1348"/>
        </w:tabs>
        <w:jc w:val="left"/>
      </w:pPr>
    </w:p>
    <w:p>
      <w:pPr>
        <w:tabs>
          <w:tab w:val="left" w:pos="1348"/>
        </w:tabs>
        <w:jc w:val="left"/>
      </w:pPr>
    </w:p>
    <w:p>
      <w:pPr>
        <w:tabs>
          <w:tab w:val="left" w:pos="1348"/>
        </w:tabs>
        <w:jc w:val="left"/>
      </w:pPr>
    </w:p>
    <w:p>
      <w:pPr>
        <w:tabs>
          <w:tab w:val="left" w:pos="1348"/>
        </w:tabs>
        <w:jc w:val="left"/>
      </w:pPr>
    </w:p>
    <w:p>
      <w:pPr>
        <w:tabs>
          <w:tab w:val="left" w:pos="1348"/>
        </w:tabs>
        <w:jc w:val="left"/>
      </w:pPr>
    </w:p>
    <w:p>
      <w:pPr>
        <w:tabs>
          <w:tab w:val="left" w:pos="1348"/>
        </w:tabs>
        <w:jc w:val="left"/>
      </w:pPr>
    </w:p>
    <w:p>
      <w:pPr>
        <w:tabs>
          <w:tab w:val="left" w:pos="1348"/>
        </w:tabs>
        <w:jc w:val="left"/>
      </w:pPr>
    </w:p>
    <w:p>
      <w:pPr>
        <w:tabs>
          <w:tab w:val="left" w:pos="1348"/>
        </w:tabs>
        <w:jc w:val="left"/>
      </w:pPr>
    </w:p>
    <w:p>
      <w:pPr>
        <w:tabs>
          <w:tab w:val="left" w:pos="1348"/>
        </w:tabs>
        <w:jc w:val="left"/>
      </w:pPr>
    </w:p>
    <w:p>
      <w:pPr>
        <w:adjustRightInd w:val="0"/>
        <w:snapToGrid w:val="0"/>
        <w:jc w:val="center"/>
        <w:rPr>
          <w:rFonts w:hint="eastAsia" w:ascii="方正小标宋_GBK" w:eastAsia="方正小标宋_GBK"/>
          <w:bCs/>
          <w:sz w:val="44"/>
          <w:szCs w:val="44"/>
          <w:lang w:eastAsia="zh-CN"/>
        </w:rPr>
      </w:pPr>
      <w:r>
        <w:rPr>
          <w:rFonts w:hint="eastAsia" w:ascii="方正小标宋_GBK" w:eastAsia="方正小标宋_GBK"/>
          <w:bCs/>
          <w:sz w:val="44"/>
          <w:szCs w:val="44"/>
        </w:rPr>
        <w:t>深泽县水利局</w:t>
      </w:r>
      <w:r>
        <w:rPr>
          <w:rFonts w:hint="eastAsia" w:ascii="方正小标宋_GBK" w:eastAsia="方正小标宋_GBK"/>
          <w:bCs/>
          <w:sz w:val="44"/>
          <w:szCs w:val="44"/>
          <w:lang w:eastAsia="zh-CN"/>
        </w:rPr>
        <w:t>本级</w:t>
      </w:r>
    </w:p>
    <w:p>
      <w:pPr>
        <w:adjustRightInd w:val="0"/>
        <w:snapToGrid w:val="0"/>
        <w:jc w:val="center"/>
        <w:rPr>
          <w:rFonts w:ascii="方正小标宋_GBK" w:eastAsia="方正小标宋_GBK"/>
          <w:bCs/>
          <w:sz w:val="44"/>
          <w:szCs w:val="44"/>
        </w:rPr>
      </w:pPr>
      <w:r>
        <w:rPr>
          <w:rFonts w:ascii="方正小标宋_GBK" w:eastAsia="方正小标宋_GBK"/>
          <w:bCs/>
          <w:sz w:val="44"/>
          <w:szCs w:val="44"/>
        </w:rPr>
        <w:t>2021</w:t>
      </w:r>
      <w:r>
        <w:rPr>
          <w:rFonts w:hint="eastAsia" w:ascii="方正小标宋_GBK" w:eastAsia="方正小标宋_GBK"/>
          <w:bCs/>
          <w:sz w:val="44"/>
          <w:szCs w:val="44"/>
        </w:rPr>
        <w:t>年单位预算信息公开情况说明</w:t>
      </w:r>
    </w:p>
    <w:p>
      <w:pPr>
        <w:ind w:firstLine="640"/>
        <w:rPr>
          <w:rFonts w:eastAsia="仿宋"/>
          <w:sz w:val="32"/>
          <w:szCs w:val="32"/>
        </w:rPr>
      </w:pPr>
    </w:p>
    <w:p>
      <w:pPr>
        <w:ind w:firstLine="640"/>
        <w:rPr>
          <w:rFonts w:eastAsia="仿宋"/>
          <w:color w:val="000000" w:themeColor="text1"/>
          <w:sz w:val="32"/>
          <w:szCs w:val="32"/>
        </w:rPr>
      </w:pPr>
      <w:r>
        <w:rPr>
          <w:rFonts w:hint="eastAsia" w:eastAsia="仿宋"/>
          <w:color w:val="000000" w:themeColor="text1"/>
          <w:sz w:val="32"/>
          <w:szCs w:val="32"/>
        </w:rPr>
        <w:t>按照《预算法》、《地方预决算公开操作规程》和《</w:t>
      </w:r>
      <w:r>
        <w:rPr>
          <w:rFonts w:hint="eastAsia" w:ascii="仿宋" w:hAnsi="仿宋" w:eastAsia="仿宋" w:cs="仿宋"/>
          <w:color w:val="000000" w:themeColor="text1"/>
          <w:sz w:val="32"/>
          <w:szCs w:val="32"/>
        </w:rPr>
        <w:t>关于进一步推进预算公开工作的实施意见》规定，现将深泽县水利局</w:t>
      </w:r>
      <w:r>
        <w:rPr>
          <w:rFonts w:hint="eastAsia" w:ascii="仿宋" w:hAnsi="仿宋" w:eastAsia="仿宋" w:cs="仿宋"/>
          <w:color w:val="000000" w:themeColor="text1"/>
          <w:sz w:val="32"/>
          <w:szCs w:val="32"/>
          <w:lang w:eastAsia="zh-CN"/>
        </w:rPr>
        <w:t>本级</w:t>
      </w:r>
      <w:r>
        <w:rPr>
          <w:rFonts w:hint="eastAsia" w:ascii="仿宋" w:hAnsi="仿宋" w:eastAsia="仿宋" w:cs="仿宋"/>
          <w:color w:val="000000" w:themeColor="text1"/>
          <w:sz w:val="32"/>
          <w:szCs w:val="32"/>
        </w:rPr>
        <w:t>2021年单位预算公开</w:t>
      </w:r>
      <w:r>
        <w:rPr>
          <w:rFonts w:hint="eastAsia" w:eastAsia="仿宋"/>
          <w:color w:val="000000" w:themeColor="text1"/>
          <w:sz w:val="32"/>
          <w:szCs w:val="32"/>
        </w:rPr>
        <w:t>如下：</w:t>
      </w:r>
    </w:p>
    <w:p>
      <w:pPr>
        <w:ind w:firstLine="640"/>
        <w:rPr>
          <w:rFonts w:ascii="黑体" w:hAnsi="黑体" w:eastAsia="黑体"/>
          <w:sz w:val="32"/>
          <w:szCs w:val="32"/>
        </w:rPr>
      </w:pPr>
      <w:r>
        <w:rPr>
          <w:rFonts w:hint="eastAsia" w:ascii="黑体" w:hAnsi="黑体" w:eastAsia="黑体"/>
          <w:sz w:val="32"/>
          <w:szCs w:val="32"/>
        </w:rPr>
        <w:t>一、单位职责及机构设置情况</w:t>
      </w:r>
    </w:p>
    <w:p>
      <w:pPr>
        <w:ind w:firstLine="640"/>
        <w:rPr>
          <w:rFonts w:eastAsia="仿宋"/>
          <w:sz w:val="32"/>
          <w:szCs w:val="32"/>
        </w:rPr>
      </w:pPr>
      <w:r>
        <w:rPr>
          <w:rFonts w:hint="eastAsia" w:ascii="仿宋" w:hAnsi="仿宋" w:eastAsia="仿宋"/>
          <w:b/>
          <w:sz w:val="32"/>
          <w:szCs w:val="32"/>
        </w:rPr>
        <w:t>单位职责：</w:t>
      </w:r>
    </w:p>
    <w:p>
      <w:pPr>
        <w:ind w:firstLine="640"/>
        <w:rPr>
          <w:rFonts w:eastAsia="仿宋"/>
          <w:sz w:val="32"/>
          <w:szCs w:val="32"/>
        </w:rPr>
      </w:pPr>
      <w:r>
        <w:rPr>
          <w:rFonts w:hint="eastAsia" w:eastAsia="仿宋"/>
          <w:sz w:val="32"/>
          <w:szCs w:val="32"/>
        </w:rPr>
        <w:t>（一）负责保障水资源合理开发利用，拟定水利战略规划，组织编制权限水资源战略规划，重要河流流域规划，防洪规划等重大水利规划。</w:t>
      </w:r>
    </w:p>
    <w:p>
      <w:pPr>
        <w:ind w:firstLine="640"/>
        <w:rPr>
          <w:rFonts w:eastAsia="仿宋"/>
          <w:sz w:val="32"/>
          <w:szCs w:val="32"/>
        </w:rPr>
      </w:pPr>
      <w:r>
        <w:rPr>
          <w:rFonts w:hint="eastAsia" w:eastAsia="仿宋"/>
          <w:sz w:val="32"/>
          <w:szCs w:val="32"/>
        </w:rPr>
        <w:t>（二）负责生活、生产经营和生态环境用水的统筹和保障。</w:t>
      </w:r>
    </w:p>
    <w:p>
      <w:pPr>
        <w:ind w:firstLine="640"/>
        <w:rPr>
          <w:rFonts w:eastAsia="仿宋"/>
          <w:sz w:val="32"/>
          <w:szCs w:val="32"/>
        </w:rPr>
      </w:pPr>
      <w:r>
        <w:rPr>
          <w:rFonts w:hint="eastAsia" w:eastAsia="仿宋"/>
          <w:sz w:val="32"/>
          <w:szCs w:val="32"/>
        </w:rPr>
        <w:t>（三）按规定制定水利工程建设有关制度并组织实施，负责提出县级水利固定资产投资规模、方向、具体安排建议并组织指导实施。</w:t>
      </w:r>
    </w:p>
    <w:p>
      <w:pPr>
        <w:ind w:firstLine="640"/>
        <w:rPr>
          <w:rFonts w:eastAsia="仿宋"/>
          <w:sz w:val="32"/>
          <w:szCs w:val="32"/>
        </w:rPr>
      </w:pPr>
      <w:r>
        <w:rPr>
          <w:rFonts w:hint="eastAsia" w:eastAsia="仿宋"/>
          <w:sz w:val="32"/>
          <w:szCs w:val="32"/>
        </w:rPr>
        <w:t>（四）负责水资源保护。</w:t>
      </w:r>
    </w:p>
    <w:p>
      <w:pPr>
        <w:ind w:firstLine="640" w:firstLineChars="200"/>
        <w:rPr>
          <w:rFonts w:eastAsia="仿宋"/>
          <w:sz w:val="32"/>
          <w:szCs w:val="32"/>
        </w:rPr>
      </w:pPr>
      <w:r>
        <w:rPr>
          <w:rFonts w:hint="eastAsia" w:eastAsia="仿宋"/>
          <w:sz w:val="32"/>
          <w:szCs w:val="32"/>
        </w:rPr>
        <w:t>（五）负责节约用水工作。</w:t>
      </w:r>
    </w:p>
    <w:p>
      <w:pPr>
        <w:ind w:firstLine="640"/>
        <w:rPr>
          <w:rFonts w:eastAsia="仿宋"/>
          <w:sz w:val="32"/>
          <w:szCs w:val="32"/>
        </w:rPr>
      </w:pPr>
      <w:r>
        <w:rPr>
          <w:rFonts w:hint="eastAsia" w:eastAsia="仿宋"/>
          <w:sz w:val="32"/>
          <w:szCs w:val="32"/>
        </w:rPr>
        <w:t>（六）负责水利设施、水域及岸线的管理、保护与综合利用。</w:t>
      </w:r>
    </w:p>
    <w:p>
      <w:pPr>
        <w:ind w:firstLine="640"/>
        <w:rPr>
          <w:rFonts w:eastAsia="仿宋"/>
          <w:sz w:val="32"/>
          <w:szCs w:val="32"/>
        </w:rPr>
      </w:pPr>
      <w:r>
        <w:rPr>
          <w:rFonts w:hint="eastAsia" w:eastAsia="仿宋"/>
          <w:sz w:val="32"/>
          <w:szCs w:val="32"/>
        </w:rPr>
        <w:t>（七）负责监督水利工程建设与运行管理。</w:t>
      </w:r>
    </w:p>
    <w:p>
      <w:pPr>
        <w:ind w:firstLine="640"/>
        <w:rPr>
          <w:rFonts w:eastAsia="仿宋"/>
          <w:sz w:val="32"/>
          <w:szCs w:val="32"/>
        </w:rPr>
      </w:pPr>
      <w:r>
        <w:rPr>
          <w:rFonts w:hint="eastAsia" w:eastAsia="仿宋"/>
          <w:sz w:val="32"/>
          <w:szCs w:val="32"/>
        </w:rPr>
        <w:t>（八）负责水土保持工作。</w:t>
      </w:r>
    </w:p>
    <w:p>
      <w:pPr>
        <w:ind w:firstLine="640"/>
        <w:rPr>
          <w:rFonts w:eastAsia="仿宋"/>
          <w:sz w:val="32"/>
          <w:szCs w:val="32"/>
        </w:rPr>
      </w:pPr>
      <w:r>
        <w:rPr>
          <w:rFonts w:hint="eastAsia" w:eastAsia="仿宋"/>
          <w:sz w:val="32"/>
          <w:szCs w:val="32"/>
        </w:rPr>
        <w:t>（九）指导农村水利工作。</w:t>
      </w:r>
    </w:p>
    <w:p>
      <w:pPr>
        <w:ind w:firstLine="640"/>
        <w:rPr>
          <w:rFonts w:eastAsia="仿宋"/>
          <w:sz w:val="32"/>
          <w:szCs w:val="32"/>
        </w:rPr>
      </w:pPr>
      <w:r>
        <w:rPr>
          <w:rFonts w:hint="eastAsia" w:eastAsia="仿宋"/>
          <w:sz w:val="32"/>
          <w:szCs w:val="32"/>
        </w:rPr>
        <w:t>（十）完成县委县政府交办的其他任务。</w:t>
      </w:r>
    </w:p>
    <w:p>
      <w:pPr>
        <w:rPr>
          <w:rFonts w:ascii="仿宋" w:hAnsi="仿宋" w:eastAsia="仿宋"/>
          <w:sz w:val="32"/>
          <w:szCs w:val="32"/>
        </w:rPr>
      </w:pPr>
    </w:p>
    <w:p>
      <w:pPr>
        <w:ind w:firstLine="643" w:firstLineChars="200"/>
        <w:rPr>
          <w:rFonts w:ascii="仿宋" w:hAnsi="仿宋" w:eastAsia="仿宋"/>
          <w:b/>
          <w:sz w:val="32"/>
          <w:szCs w:val="32"/>
        </w:rPr>
      </w:pPr>
      <w:r>
        <w:rPr>
          <w:rFonts w:hint="eastAsia" w:ascii="仿宋" w:hAnsi="仿宋" w:eastAsia="仿宋"/>
          <w:b/>
          <w:sz w:val="32"/>
          <w:szCs w:val="32"/>
        </w:rPr>
        <w:t>机构设置：</w:t>
      </w:r>
    </w:p>
    <w:tbl>
      <w:tblPr>
        <w:tblStyle w:val="7"/>
        <w:tblW w:w="9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2"/>
        <w:gridCol w:w="1441"/>
        <w:gridCol w:w="1858"/>
        <w:gridCol w:w="387"/>
        <w:gridCol w:w="3009"/>
        <w:gridCol w:w="8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823" w:type="dxa"/>
          <w:trHeight w:val="1046" w:hRule="atLeast"/>
          <w:tblHeader/>
          <w:jc w:val="center"/>
        </w:trPr>
        <w:tc>
          <w:tcPr>
            <w:tcW w:w="6008" w:type="dxa"/>
            <w:gridSpan w:val="4"/>
            <w:tcBorders>
              <w:top w:val="single" w:color="FFFFFF" w:sz="6" w:space="0"/>
              <w:left w:val="single" w:color="FFFFFF" w:sz="6" w:space="0"/>
              <w:right w:val="single" w:color="FFFFFF" w:sz="6" w:space="0"/>
            </w:tcBorders>
            <w:vAlign w:val="center"/>
          </w:tcPr>
          <w:p>
            <w:pPr>
              <w:spacing w:line="600" w:lineRule="exact"/>
              <w:jc w:val="center"/>
              <w:rPr>
                <w:rFonts w:ascii="仿宋_GB2312" w:hAnsi="仿宋_GB2312" w:eastAsia="仿宋_GB2312" w:cs="仿宋_GB2312"/>
                <w:b/>
                <w:bCs/>
                <w:sz w:val="32"/>
              </w:rPr>
            </w:pPr>
            <w:r>
              <w:rPr>
                <w:rFonts w:ascii="仿宋_GB2312" w:hAnsi="仿宋_GB2312" w:eastAsia="仿宋_GB2312" w:cs="仿宋_GB2312"/>
                <w:b/>
                <w:bCs/>
                <w:sz w:val="32"/>
              </w:rPr>
              <w:t xml:space="preserve">                   </w:t>
            </w:r>
            <w:r>
              <w:rPr>
                <w:rFonts w:hint="eastAsia" w:ascii="仿宋_GB2312" w:hAnsi="仿宋_GB2312" w:eastAsia="仿宋_GB2312" w:cs="仿宋_GB2312"/>
                <w:b/>
                <w:bCs/>
                <w:sz w:val="32"/>
              </w:rPr>
              <w:t>单位机构设置情况</w:t>
            </w:r>
          </w:p>
          <w:p>
            <w:pPr>
              <w:spacing w:line="600" w:lineRule="exact"/>
              <w:jc w:val="center"/>
              <w:rPr>
                <w:rFonts w:ascii="仿宋_GB2312" w:hAnsi="仿宋_GB2312" w:eastAsia="仿宋_GB2312" w:cs="仿宋_GB2312"/>
                <w:b/>
                <w:bCs/>
                <w:sz w:val="24"/>
              </w:rPr>
            </w:pPr>
          </w:p>
        </w:tc>
        <w:tc>
          <w:tcPr>
            <w:tcW w:w="3009" w:type="dxa"/>
            <w:tcBorders>
              <w:top w:val="single" w:color="FFFFFF" w:sz="6" w:space="0"/>
              <w:left w:val="single" w:color="FFFFFF" w:sz="6" w:space="0"/>
              <w:right w:val="single" w:color="FFFFFF" w:sz="6" w:space="0"/>
            </w:tcBorders>
            <w:vAlign w:val="center"/>
          </w:tcPr>
          <w:p>
            <w:pPr>
              <w:spacing w:line="600" w:lineRule="exact"/>
              <w:jc w:val="center"/>
              <w:rPr>
                <w:rFonts w:ascii="仿宋_GB2312" w:hAnsi="仿宋_GB2312" w:eastAsia="仿宋_GB2312" w:cs="仿宋_GB2312"/>
                <w:b/>
                <w:bCs/>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jc w:val="center"/>
        </w:trPr>
        <w:tc>
          <w:tcPr>
            <w:tcW w:w="2322" w:type="dxa"/>
            <w:vMerge w:val="restart"/>
            <w:vAlign w:val="center"/>
          </w:tcPr>
          <w:p>
            <w:pPr>
              <w:spacing w:line="6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单位名称</w:t>
            </w:r>
          </w:p>
        </w:tc>
        <w:tc>
          <w:tcPr>
            <w:tcW w:w="1441" w:type="dxa"/>
            <w:vMerge w:val="restart"/>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单位性质</w:t>
            </w:r>
          </w:p>
        </w:tc>
        <w:tc>
          <w:tcPr>
            <w:tcW w:w="1858" w:type="dxa"/>
            <w:vMerge w:val="restart"/>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单位规格</w:t>
            </w:r>
          </w:p>
        </w:tc>
        <w:tc>
          <w:tcPr>
            <w:tcW w:w="4219" w:type="dxa"/>
            <w:gridSpan w:val="3"/>
            <w:vMerge w:val="restart"/>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02" w:hRule="atLeast"/>
          <w:tblHeader/>
          <w:jc w:val="center"/>
        </w:trPr>
        <w:tc>
          <w:tcPr>
            <w:tcW w:w="2322" w:type="dxa"/>
            <w:vMerge w:val="continue"/>
            <w:vAlign w:val="center"/>
          </w:tcPr>
          <w:p>
            <w:pPr>
              <w:spacing w:line="600" w:lineRule="exact"/>
              <w:jc w:val="center"/>
              <w:rPr>
                <w:rFonts w:ascii="仿宋_GB2312" w:hAnsi="仿宋_GB2312" w:eastAsia="仿宋_GB2312" w:cs="仿宋_GB2312"/>
                <w:szCs w:val="21"/>
              </w:rPr>
            </w:pPr>
          </w:p>
        </w:tc>
        <w:tc>
          <w:tcPr>
            <w:tcW w:w="1441" w:type="dxa"/>
            <w:vMerge w:val="continue"/>
            <w:vAlign w:val="center"/>
          </w:tcPr>
          <w:p>
            <w:pPr>
              <w:spacing w:line="600" w:lineRule="exact"/>
              <w:jc w:val="center"/>
              <w:rPr>
                <w:rFonts w:ascii="仿宋_GB2312" w:hAnsi="仿宋_GB2312" w:eastAsia="仿宋_GB2312" w:cs="仿宋_GB2312"/>
              </w:rPr>
            </w:pPr>
          </w:p>
        </w:tc>
        <w:tc>
          <w:tcPr>
            <w:tcW w:w="1858" w:type="dxa"/>
            <w:vMerge w:val="continue"/>
            <w:vAlign w:val="center"/>
          </w:tcPr>
          <w:p>
            <w:pPr>
              <w:spacing w:line="600" w:lineRule="exact"/>
              <w:jc w:val="center"/>
              <w:rPr>
                <w:rFonts w:ascii="仿宋_GB2312" w:hAnsi="仿宋_GB2312" w:eastAsia="仿宋_GB2312" w:cs="仿宋_GB2312"/>
              </w:rPr>
            </w:pPr>
          </w:p>
        </w:tc>
        <w:tc>
          <w:tcPr>
            <w:tcW w:w="4219" w:type="dxa"/>
            <w:gridSpan w:val="3"/>
            <w:vMerge w:val="continue"/>
            <w:vAlign w:val="center"/>
          </w:tcPr>
          <w:p>
            <w:pPr>
              <w:spacing w:line="600" w:lineRule="exact"/>
              <w:jc w:val="center"/>
              <w:rPr>
                <w:rFonts w:ascii="仿宋_GB2312" w:hAnsi="仿宋_GB2312" w:eastAsia="仿宋_GB2312" w:cs="仿宋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22" w:type="dxa"/>
            <w:vAlign w:val="center"/>
          </w:tcPr>
          <w:p>
            <w:pPr>
              <w:spacing w:line="600" w:lineRule="exact"/>
              <w:jc w:val="center"/>
              <w:rPr>
                <w:rFonts w:hint="eastAsia" w:ascii="仿宋_GB2312" w:hAnsi="仿宋_GB2312" w:eastAsia="仿宋_GB2312" w:cs="仿宋_GB2312"/>
                <w:b/>
                <w:szCs w:val="21"/>
                <w:lang w:eastAsia="zh-CN"/>
              </w:rPr>
            </w:pPr>
            <w:r>
              <w:rPr>
                <w:rFonts w:hint="eastAsia" w:ascii="仿宋_GB2312" w:hAnsi="仿宋_GB2312" w:eastAsia="仿宋_GB2312" w:cs="仿宋_GB2312"/>
                <w:b/>
                <w:bCs/>
                <w:szCs w:val="21"/>
              </w:rPr>
              <w:t>深泽县水利</w:t>
            </w:r>
            <w:r>
              <w:rPr>
                <w:rFonts w:hint="eastAsia" w:ascii="仿宋_GB2312" w:hAnsi="仿宋_GB2312" w:eastAsia="仿宋_GB2312" w:cs="仿宋_GB2312"/>
                <w:b/>
                <w:bCs/>
                <w:szCs w:val="21"/>
                <w:lang w:eastAsia="zh-CN"/>
              </w:rPr>
              <w:t>局本级</w:t>
            </w:r>
          </w:p>
        </w:tc>
        <w:tc>
          <w:tcPr>
            <w:tcW w:w="1441" w:type="dxa"/>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行政</w:t>
            </w:r>
          </w:p>
        </w:tc>
        <w:tc>
          <w:tcPr>
            <w:tcW w:w="1858" w:type="dxa"/>
            <w:vAlign w:val="center"/>
          </w:tcPr>
          <w:p>
            <w:pPr>
              <w:spacing w:line="600" w:lineRule="exact"/>
              <w:jc w:val="center"/>
              <w:rPr>
                <w:rFonts w:ascii="仿宋_GB2312" w:hAnsi="仿宋_GB2312" w:eastAsia="仿宋_GB2312" w:cs="仿宋_GB2312"/>
                <w:b/>
              </w:rPr>
            </w:pPr>
            <w:r>
              <w:rPr>
                <w:rFonts w:hint="eastAsia" w:ascii="仿宋_GB2312" w:hAnsi="仿宋_GB2312" w:eastAsia="仿宋_GB2312" w:cs="仿宋_GB2312"/>
                <w:b/>
              </w:rPr>
              <w:t>正科级</w:t>
            </w:r>
          </w:p>
        </w:tc>
        <w:tc>
          <w:tcPr>
            <w:tcW w:w="4219" w:type="dxa"/>
            <w:gridSpan w:val="3"/>
            <w:vAlign w:val="center"/>
          </w:tcPr>
          <w:p>
            <w:pPr>
              <w:spacing w:line="600" w:lineRule="exact"/>
              <w:jc w:val="center"/>
              <w:rPr>
                <w:rFonts w:hint="eastAsia" w:ascii="仿宋_GB2312" w:hAnsi="仿宋_GB2312" w:eastAsia="仿宋_GB2312" w:cs="仿宋_GB2312"/>
                <w:b/>
                <w:lang w:eastAsia="zh-CN"/>
              </w:rPr>
            </w:pPr>
            <w:r>
              <w:rPr>
                <w:rFonts w:hint="eastAsia" w:ascii="仿宋" w:hAnsi="仿宋" w:eastAsia="仿宋" w:cs="仿宋"/>
                <w:b/>
                <w:bCs/>
                <w:lang w:eastAsia="zh-CN"/>
              </w:rPr>
              <w:t>财政拨款</w:t>
            </w:r>
          </w:p>
        </w:tc>
      </w:tr>
    </w:tbl>
    <w:p>
      <w:pPr>
        <w:ind w:firstLine="643" w:firstLineChars="200"/>
        <w:rPr>
          <w:rFonts w:ascii="仿宋" w:hAnsi="仿宋" w:eastAsia="仿宋"/>
          <w:b/>
          <w:sz w:val="32"/>
          <w:szCs w:val="32"/>
        </w:rPr>
      </w:pPr>
    </w:p>
    <w:p>
      <w:pPr>
        <w:ind w:firstLine="640"/>
        <w:rPr>
          <w:rFonts w:ascii="黑体" w:hAnsi="黑体" w:eastAsia="黑体"/>
          <w:sz w:val="32"/>
          <w:szCs w:val="32"/>
        </w:rPr>
      </w:pPr>
      <w:r>
        <w:rPr>
          <w:rFonts w:hint="eastAsia" w:ascii="黑体" w:hAnsi="黑体" w:eastAsia="黑体"/>
          <w:sz w:val="32"/>
          <w:szCs w:val="32"/>
        </w:rPr>
        <w:t>二、单位预算安排的总体情况</w:t>
      </w:r>
    </w:p>
    <w:p>
      <w:pPr>
        <w:ind w:firstLine="640"/>
        <w:rPr>
          <w:rFonts w:eastAsia="仿宋"/>
          <w:sz w:val="32"/>
          <w:szCs w:val="32"/>
        </w:rPr>
      </w:pPr>
      <w:r>
        <w:rPr>
          <w:rFonts w:hint="eastAsia" w:eastAsia="仿宋"/>
          <w:sz w:val="32"/>
          <w:szCs w:val="32"/>
        </w:rPr>
        <w:t>按照预算管理有关规定，目前我县单位预算的编制实行综合预算管理，即全部收入和支出都反映的预算中。</w:t>
      </w:r>
    </w:p>
    <w:p>
      <w:pPr>
        <w:ind w:firstLine="640"/>
        <w:rPr>
          <w:rFonts w:eastAsia="仿宋"/>
          <w:sz w:val="32"/>
          <w:szCs w:val="32"/>
        </w:rPr>
      </w:pPr>
      <w:r>
        <w:rPr>
          <w:rFonts w:eastAsia="仿宋"/>
          <w:sz w:val="32"/>
          <w:szCs w:val="32"/>
        </w:rPr>
        <w:t>1</w:t>
      </w:r>
      <w:r>
        <w:rPr>
          <w:rFonts w:hint="eastAsia" w:eastAsia="仿宋"/>
          <w:sz w:val="32"/>
          <w:szCs w:val="32"/>
        </w:rPr>
        <w:t>、收入说明</w:t>
      </w:r>
    </w:p>
    <w:p>
      <w:pPr>
        <w:ind w:firstLine="640"/>
        <w:rPr>
          <w:rFonts w:eastAsia="仿宋"/>
          <w:sz w:val="32"/>
          <w:szCs w:val="32"/>
        </w:rPr>
      </w:pPr>
      <w:r>
        <w:rPr>
          <w:rFonts w:hint="eastAsia" w:eastAsia="仿宋"/>
          <w:sz w:val="32"/>
          <w:szCs w:val="32"/>
        </w:rPr>
        <w:t>反映深泽县水利局</w:t>
      </w:r>
      <w:r>
        <w:rPr>
          <w:rFonts w:hint="eastAsia" w:eastAsia="仿宋"/>
          <w:sz w:val="32"/>
          <w:szCs w:val="32"/>
          <w:lang w:eastAsia="zh-CN"/>
        </w:rPr>
        <w:t>本级</w:t>
      </w:r>
      <w:r>
        <w:rPr>
          <w:rFonts w:hint="eastAsia" w:eastAsia="仿宋"/>
          <w:sz w:val="32"/>
          <w:szCs w:val="32"/>
        </w:rPr>
        <w:t>当年全部收入。</w:t>
      </w:r>
      <w:r>
        <w:rPr>
          <w:rFonts w:eastAsia="仿宋"/>
          <w:sz w:val="32"/>
          <w:szCs w:val="32"/>
        </w:rPr>
        <w:t>2021</w:t>
      </w:r>
      <w:r>
        <w:rPr>
          <w:rFonts w:hint="eastAsia" w:eastAsia="仿宋"/>
          <w:sz w:val="32"/>
          <w:szCs w:val="32"/>
        </w:rPr>
        <w:t>年预算收入</w:t>
      </w:r>
      <w:r>
        <w:rPr>
          <w:rFonts w:eastAsia="仿宋"/>
          <w:sz w:val="32"/>
          <w:szCs w:val="32"/>
        </w:rPr>
        <w:t>3986.66</w:t>
      </w:r>
      <w:r>
        <w:rPr>
          <w:rFonts w:hint="eastAsia" w:eastAsia="仿宋"/>
          <w:sz w:val="32"/>
          <w:szCs w:val="32"/>
        </w:rPr>
        <w:t>万元，其中：一般公共预算收入</w:t>
      </w:r>
      <w:r>
        <w:rPr>
          <w:rFonts w:eastAsia="仿宋"/>
          <w:sz w:val="32"/>
          <w:szCs w:val="32"/>
        </w:rPr>
        <w:t>3206.47</w:t>
      </w:r>
      <w:r>
        <w:rPr>
          <w:rFonts w:hint="eastAsia" w:eastAsia="仿宋"/>
          <w:sz w:val="32"/>
          <w:szCs w:val="32"/>
        </w:rPr>
        <w:t>万元，基金预算收入</w:t>
      </w:r>
      <w:r>
        <w:rPr>
          <w:rFonts w:eastAsia="仿宋"/>
          <w:sz w:val="32"/>
          <w:szCs w:val="32"/>
        </w:rPr>
        <w:t>780.19</w:t>
      </w:r>
      <w:r>
        <w:rPr>
          <w:rFonts w:hint="eastAsia" w:eastAsia="仿宋"/>
          <w:sz w:val="32"/>
          <w:szCs w:val="32"/>
        </w:rPr>
        <w:t>万元，财政专户核拨收入</w:t>
      </w:r>
      <w:r>
        <w:rPr>
          <w:rFonts w:eastAsia="仿宋"/>
          <w:sz w:val="32"/>
          <w:szCs w:val="32"/>
        </w:rPr>
        <w:t>0</w:t>
      </w:r>
      <w:r>
        <w:rPr>
          <w:rFonts w:hint="eastAsia" w:eastAsia="仿宋"/>
          <w:sz w:val="32"/>
          <w:szCs w:val="32"/>
        </w:rPr>
        <w:t>万元，其他来源收入</w:t>
      </w:r>
      <w:r>
        <w:rPr>
          <w:rFonts w:eastAsia="仿宋"/>
          <w:sz w:val="32"/>
          <w:szCs w:val="32"/>
        </w:rPr>
        <w:t>0</w:t>
      </w:r>
      <w:r>
        <w:rPr>
          <w:rFonts w:hint="eastAsia" w:eastAsia="仿宋"/>
          <w:sz w:val="32"/>
          <w:szCs w:val="32"/>
        </w:rPr>
        <w:t>万元。</w:t>
      </w:r>
    </w:p>
    <w:p>
      <w:pPr>
        <w:ind w:firstLine="640"/>
        <w:rPr>
          <w:rFonts w:eastAsia="仿宋"/>
          <w:sz w:val="32"/>
          <w:szCs w:val="32"/>
        </w:rPr>
      </w:pPr>
      <w:r>
        <w:rPr>
          <w:rFonts w:eastAsia="仿宋"/>
          <w:sz w:val="32"/>
          <w:szCs w:val="32"/>
        </w:rPr>
        <w:t>2</w:t>
      </w:r>
      <w:r>
        <w:rPr>
          <w:rFonts w:hint="eastAsia" w:eastAsia="仿宋"/>
          <w:sz w:val="32"/>
          <w:szCs w:val="32"/>
        </w:rPr>
        <w:t>、支出说明</w:t>
      </w:r>
    </w:p>
    <w:p>
      <w:pPr>
        <w:ind w:firstLine="640"/>
        <w:rPr>
          <w:rFonts w:eastAsia="仿宋"/>
          <w:sz w:val="32"/>
          <w:szCs w:val="32"/>
        </w:rPr>
      </w:pPr>
      <w:r>
        <w:rPr>
          <w:rFonts w:hint="eastAsia" w:eastAsia="仿宋"/>
          <w:sz w:val="32"/>
          <w:szCs w:val="32"/>
        </w:rPr>
        <w:t>收支预算总表支出栏、基本支出表、项目支出表按经济分类和支出功能分类科目编制，反映深泽县水利局年度单位预算中支出预算的总体情况。</w:t>
      </w:r>
      <w:r>
        <w:rPr>
          <w:rFonts w:eastAsia="仿宋"/>
          <w:sz w:val="32"/>
          <w:szCs w:val="32"/>
        </w:rPr>
        <w:t>2021</w:t>
      </w:r>
      <w:r>
        <w:rPr>
          <w:rFonts w:hint="eastAsia" w:eastAsia="仿宋"/>
          <w:sz w:val="32"/>
          <w:szCs w:val="32"/>
        </w:rPr>
        <w:t>单位支出预算为</w:t>
      </w:r>
      <w:r>
        <w:rPr>
          <w:rFonts w:eastAsia="仿宋"/>
          <w:sz w:val="32"/>
          <w:szCs w:val="32"/>
        </w:rPr>
        <w:t xml:space="preserve"> 3986.66 </w:t>
      </w:r>
      <w:r>
        <w:rPr>
          <w:rFonts w:hint="eastAsia" w:eastAsia="仿宋"/>
          <w:sz w:val="32"/>
          <w:szCs w:val="32"/>
        </w:rPr>
        <w:t>万元，其中基本支出</w:t>
      </w:r>
      <w:r>
        <w:rPr>
          <w:rFonts w:eastAsia="仿宋"/>
          <w:sz w:val="32"/>
          <w:szCs w:val="32"/>
        </w:rPr>
        <w:t>278.51</w:t>
      </w:r>
      <w:r>
        <w:rPr>
          <w:rFonts w:hint="eastAsia" w:eastAsia="仿宋"/>
          <w:sz w:val="32"/>
          <w:szCs w:val="32"/>
        </w:rPr>
        <w:t>万元，包括人员经费</w:t>
      </w:r>
      <w:r>
        <w:rPr>
          <w:rFonts w:eastAsia="仿宋"/>
          <w:sz w:val="32"/>
          <w:szCs w:val="32"/>
        </w:rPr>
        <w:t>266.7</w:t>
      </w:r>
      <w:r>
        <w:rPr>
          <w:rFonts w:hint="eastAsia" w:eastAsia="仿宋"/>
          <w:sz w:val="32"/>
          <w:szCs w:val="32"/>
        </w:rPr>
        <w:t>万元和日常公用经费</w:t>
      </w:r>
      <w:r>
        <w:rPr>
          <w:rFonts w:eastAsia="仿宋"/>
          <w:sz w:val="32"/>
          <w:szCs w:val="32"/>
        </w:rPr>
        <w:t>11.81</w:t>
      </w:r>
      <w:r>
        <w:rPr>
          <w:rFonts w:hint="eastAsia" w:eastAsia="仿宋"/>
          <w:sz w:val="32"/>
          <w:szCs w:val="32"/>
        </w:rPr>
        <w:t>万元；项目支出</w:t>
      </w:r>
      <w:r>
        <w:rPr>
          <w:rFonts w:eastAsia="仿宋"/>
          <w:sz w:val="32"/>
          <w:szCs w:val="32"/>
        </w:rPr>
        <w:t>3708.15</w:t>
      </w:r>
      <w:r>
        <w:rPr>
          <w:rFonts w:hint="eastAsia" w:eastAsia="仿宋"/>
          <w:sz w:val="32"/>
          <w:szCs w:val="32"/>
        </w:rPr>
        <w:t>万元，主要有节能环保支出</w:t>
      </w:r>
      <w:r>
        <w:rPr>
          <w:rFonts w:eastAsia="仿宋"/>
          <w:sz w:val="32"/>
          <w:szCs w:val="32"/>
        </w:rPr>
        <w:t>1922</w:t>
      </w:r>
      <w:r>
        <w:rPr>
          <w:rFonts w:hint="eastAsia" w:eastAsia="仿宋"/>
          <w:sz w:val="32"/>
          <w:szCs w:val="32"/>
        </w:rPr>
        <w:t>万元，移民补助</w:t>
      </w:r>
      <w:r>
        <w:rPr>
          <w:rFonts w:eastAsia="仿宋"/>
          <w:sz w:val="32"/>
          <w:szCs w:val="32"/>
        </w:rPr>
        <w:t>1.74</w:t>
      </w:r>
      <w:r>
        <w:rPr>
          <w:rFonts w:hint="eastAsia" w:eastAsia="仿宋"/>
          <w:sz w:val="32"/>
          <w:szCs w:val="32"/>
        </w:rPr>
        <w:t>万元，农林水支出</w:t>
      </w:r>
      <w:r>
        <w:rPr>
          <w:rFonts w:eastAsia="仿宋"/>
          <w:sz w:val="32"/>
          <w:szCs w:val="32"/>
        </w:rPr>
        <w:t>1005.96</w:t>
      </w:r>
      <w:r>
        <w:rPr>
          <w:rFonts w:hint="eastAsia" w:eastAsia="仿宋"/>
          <w:sz w:val="32"/>
          <w:szCs w:val="32"/>
        </w:rPr>
        <w:t>万元，其他政府性基金及对应专项债务收入安排的支出</w:t>
      </w:r>
      <w:r>
        <w:rPr>
          <w:rFonts w:eastAsia="仿宋"/>
          <w:sz w:val="32"/>
          <w:szCs w:val="32"/>
        </w:rPr>
        <w:t>778.45</w:t>
      </w:r>
      <w:r>
        <w:rPr>
          <w:rFonts w:hint="eastAsia" w:eastAsia="仿宋"/>
          <w:sz w:val="32"/>
          <w:szCs w:val="32"/>
        </w:rPr>
        <w:t>万元。</w:t>
      </w:r>
    </w:p>
    <w:p>
      <w:pPr>
        <w:ind w:firstLine="640"/>
        <w:rPr>
          <w:rFonts w:eastAsia="仿宋"/>
          <w:sz w:val="32"/>
          <w:szCs w:val="32"/>
        </w:rPr>
      </w:pPr>
      <w:r>
        <w:rPr>
          <w:rFonts w:eastAsia="仿宋"/>
          <w:sz w:val="32"/>
          <w:szCs w:val="32"/>
        </w:rPr>
        <w:t>3</w:t>
      </w:r>
      <w:r>
        <w:rPr>
          <w:rFonts w:hint="eastAsia" w:eastAsia="仿宋"/>
          <w:sz w:val="32"/>
          <w:szCs w:val="32"/>
        </w:rPr>
        <w:t>、比上年增减情况</w:t>
      </w:r>
    </w:p>
    <w:p>
      <w:pPr>
        <w:ind w:firstLine="640"/>
        <w:rPr>
          <w:rFonts w:eastAsia="仿宋"/>
          <w:sz w:val="32"/>
          <w:szCs w:val="32"/>
        </w:rPr>
      </w:pPr>
      <w:r>
        <w:rPr>
          <w:rFonts w:eastAsia="仿宋"/>
          <w:color w:val="000000"/>
          <w:sz w:val="32"/>
          <w:szCs w:val="32"/>
        </w:rPr>
        <w:t>2021</w:t>
      </w:r>
      <w:r>
        <w:rPr>
          <w:rFonts w:hint="eastAsia" w:eastAsia="仿宋"/>
          <w:color w:val="000000"/>
          <w:sz w:val="32"/>
          <w:szCs w:val="32"/>
        </w:rPr>
        <w:t>年单位预算收支安排</w:t>
      </w:r>
      <w:r>
        <w:rPr>
          <w:rFonts w:eastAsia="仿宋"/>
          <w:color w:val="000000"/>
          <w:sz w:val="32"/>
          <w:szCs w:val="32"/>
        </w:rPr>
        <w:t>3986.66</w:t>
      </w:r>
      <w:r>
        <w:rPr>
          <w:rFonts w:hint="eastAsia" w:eastAsia="仿宋"/>
          <w:color w:val="000000"/>
          <w:sz w:val="32"/>
          <w:szCs w:val="32"/>
        </w:rPr>
        <w:t>万元，</w:t>
      </w:r>
      <w:r>
        <w:rPr>
          <w:rFonts w:hint="eastAsia" w:eastAsia="仿宋"/>
          <w:sz w:val="32"/>
          <w:szCs w:val="32"/>
        </w:rPr>
        <w:t>较</w:t>
      </w:r>
      <w:r>
        <w:rPr>
          <w:rFonts w:eastAsia="仿宋"/>
          <w:sz w:val="32"/>
          <w:szCs w:val="32"/>
        </w:rPr>
        <w:t>2020</w:t>
      </w:r>
      <w:r>
        <w:rPr>
          <w:rFonts w:hint="eastAsia" w:eastAsia="仿宋"/>
          <w:sz w:val="32"/>
          <w:szCs w:val="32"/>
        </w:rPr>
        <w:t>年增加</w:t>
      </w:r>
      <w:r>
        <w:rPr>
          <w:rFonts w:eastAsia="仿宋"/>
          <w:sz w:val="32"/>
          <w:szCs w:val="32"/>
        </w:rPr>
        <w:t>3226.37</w:t>
      </w:r>
      <w:r>
        <w:rPr>
          <w:rFonts w:hint="eastAsia" w:eastAsia="仿宋"/>
          <w:sz w:val="32"/>
          <w:szCs w:val="32"/>
        </w:rPr>
        <w:t>万元，其中：基本支出减少</w:t>
      </w:r>
      <w:r>
        <w:rPr>
          <w:rFonts w:eastAsia="仿宋"/>
          <w:sz w:val="32"/>
          <w:szCs w:val="32"/>
        </w:rPr>
        <w:t>12.49</w:t>
      </w:r>
      <w:r>
        <w:rPr>
          <w:rFonts w:hint="eastAsia" w:eastAsia="仿宋"/>
          <w:sz w:val="32"/>
          <w:szCs w:val="32"/>
        </w:rPr>
        <w:t>万元；项目支出增加</w:t>
      </w:r>
      <w:r>
        <w:rPr>
          <w:rFonts w:eastAsia="仿宋"/>
          <w:sz w:val="32"/>
          <w:szCs w:val="32"/>
        </w:rPr>
        <w:t xml:space="preserve"> 3238.86</w:t>
      </w:r>
      <w:r>
        <w:rPr>
          <w:rFonts w:hint="eastAsia" w:eastAsia="仿宋"/>
          <w:sz w:val="32"/>
          <w:szCs w:val="32"/>
        </w:rPr>
        <w:t>万元。主要增加滹沱河生态修复二期工程耕地占用税、缴纳南水北调水费。</w:t>
      </w:r>
    </w:p>
    <w:p>
      <w:pPr>
        <w:autoSpaceDE w:val="0"/>
        <w:autoSpaceDN w:val="0"/>
        <w:adjustRightInd w:val="0"/>
        <w:ind w:firstLine="960" w:firstLineChars="300"/>
        <w:jc w:val="left"/>
        <w:rPr>
          <w:rFonts w:ascii="黑体" w:hAnsi="黑体" w:eastAsia="黑体"/>
          <w:color w:val="FF0000"/>
          <w:sz w:val="32"/>
          <w:szCs w:val="32"/>
        </w:rPr>
      </w:pPr>
      <w:r>
        <w:rPr>
          <w:rFonts w:hint="eastAsia" w:ascii="黑体" w:hAnsi="黑体" w:eastAsia="黑体"/>
          <w:sz w:val="32"/>
          <w:szCs w:val="32"/>
        </w:rPr>
        <w:t>三、机关运行经费安排情况</w:t>
      </w:r>
    </w:p>
    <w:p>
      <w:pPr>
        <w:autoSpaceDE w:val="0"/>
        <w:autoSpaceDN w:val="0"/>
        <w:adjustRightInd w:val="0"/>
        <w:ind w:left="198" w:firstLine="640" w:firstLineChars="200"/>
        <w:jc w:val="left"/>
        <w:rPr>
          <w:rFonts w:eastAsia="仿宋"/>
          <w:color w:val="000000" w:themeColor="text1"/>
          <w:sz w:val="32"/>
          <w:szCs w:val="32"/>
        </w:rPr>
      </w:pPr>
      <w:r>
        <w:rPr>
          <w:rFonts w:eastAsia="仿宋"/>
          <w:color w:val="000000" w:themeColor="text1"/>
          <w:sz w:val="32"/>
          <w:szCs w:val="32"/>
        </w:rPr>
        <w:t>2021</w:t>
      </w:r>
      <w:r>
        <w:rPr>
          <w:rFonts w:hint="eastAsia" w:eastAsia="仿宋"/>
          <w:color w:val="000000" w:themeColor="text1"/>
          <w:sz w:val="32"/>
          <w:szCs w:val="32"/>
        </w:rPr>
        <w:t>年，我单位机关运行经费共计安排11.81万元，主要用于保证机关正常运转的办公及印刷费、邮电费、差旅费、办公用水电费、办公用房取暖费、日常维修费、公务用车运行与维护等支出。</w:t>
      </w:r>
    </w:p>
    <w:p>
      <w:pPr>
        <w:autoSpaceDE w:val="0"/>
        <w:autoSpaceDN w:val="0"/>
        <w:adjustRightInd w:val="0"/>
        <w:ind w:left="198" w:firstLine="640" w:firstLineChars="200"/>
        <w:jc w:val="left"/>
        <w:rPr>
          <w:rFonts w:ascii="黑体" w:hAnsi="黑体" w:eastAsia="黑体"/>
          <w:color w:val="000000" w:themeColor="text1"/>
          <w:sz w:val="32"/>
          <w:szCs w:val="32"/>
        </w:rPr>
      </w:pPr>
      <w:r>
        <w:rPr>
          <w:rFonts w:hint="eastAsia" w:ascii="黑体" w:hAnsi="黑体" w:eastAsia="黑体"/>
          <w:color w:val="000000" w:themeColor="text1"/>
          <w:sz w:val="32"/>
          <w:szCs w:val="32"/>
        </w:rPr>
        <w:t>四、</w:t>
      </w:r>
      <w:r>
        <w:rPr>
          <w:rFonts w:hint="eastAsia" w:ascii="黑体" w:hAnsi="黑体" w:eastAsia="黑体" w:cs="黑体"/>
          <w:sz w:val="32"/>
          <w:szCs w:val="32"/>
        </w:rPr>
        <w:t>财政拨款“三公”经费预算情况</w:t>
      </w:r>
    </w:p>
    <w:p>
      <w:pPr>
        <w:pStyle w:val="4"/>
        <w:spacing w:line="242" w:lineRule="auto"/>
        <w:ind w:left="0" w:right="809" w:firstLine="640" w:firstLineChars="200"/>
        <w:rPr>
          <w:rFonts w:ascii="仿宋" w:hAnsi="仿宋" w:eastAsia="仿宋" w:cs="仿宋"/>
        </w:rPr>
      </w:pPr>
      <w:r>
        <w:rPr>
          <w:rFonts w:hint="eastAsia" w:ascii="仿宋" w:hAnsi="仿宋" w:eastAsia="仿宋" w:cs="仿宋"/>
        </w:rPr>
        <w:t xml:space="preserve">2021 </w:t>
      </w:r>
      <w:r>
        <w:rPr>
          <w:rFonts w:hint="eastAsia" w:ascii="仿宋" w:hAnsi="仿宋" w:eastAsia="仿宋" w:cs="仿宋"/>
          <w:spacing w:val="-7"/>
        </w:rPr>
        <w:t>年，我单位财政拨款“三公”经费预算安排0</w:t>
      </w:r>
      <w:r>
        <w:rPr>
          <w:rFonts w:hint="eastAsia" w:ascii="仿宋" w:hAnsi="仿宋" w:eastAsia="仿宋" w:cs="仿宋"/>
        </w:rPr>
        <w:t xml:space="preserve"> </w:t>
      </w:r>
      <w:r>
        <w:rPr>
          <w:rFonts w:hint="eastAsia" w:ascii="仿宋" w:hAnsi="仿宋" w:eastAsia="仿宋" w:cs="仿宋"/>
          <w:spacing w:val="-3"/>
        </w:rPr>
        <w:t>万元，其中：因公出国（</w:t>
      </w:r>
      <w:r>
        <w:rPr>
          <w:rFonts w:hint="eastAsia" w:ascii="仿宋" w:hAnsi="仿宋" w:eastAsia="仿宋" w:cs="仿宋"/>
        </w:rPr>
        <w:t>境）</w:t>
      </w:r>
      <w:r>
        <w:rPr>
          <w:rFonts w:hint="eastAsia" w:ascii="仿宋" w:hAnsi="仿宋" w:eastAsia="仿宋" w:cs="仿宋"/>
          <w:spacing w:val="-34"/>
        </w:rPr>
        <w:t xml:space="preserve">费 </w:t>
      </w:r>
      <w:r>
        <w:rPr>
          <w:rFonts w:hint="eastAsia" w:ascii="仿宋" w:hAnsi="仿宋" w:eastAsia="仿宋" w:cs="仿宋"/>
        </w:rPr>
        <w:t xml:space="preserve">0 </w:t>
      </w:r>
      <w:r>
        <w:rPr>
          <w:rFonts w:hint="eastAsia" w:ascii="仿宋" w:hAnsi="仿宋" w:eastAsia="仿宋" w:cs="仿宋"/>
          <w:spacing w:val="-3"/>
        </w:rPr>
        <w:t>万元；公务用车购置及运维</w:t>
      </w:r>
      <w:r>
        <w:rPr>
          <w:rFonts w:hint="eastAsia" w:ascii="仿宋" w:hAnsi="仿宋" w:eastAsia="仿宋" w:cs="仿宋"/>
          <w:spacing w:val="-37"/>
        </w:rPr>
        <w:t xml:space="preserve">费 </w:t>
      </w:r>
      <w:r>
        <w:rPr>
          <w:rFonts w:hint="eastAsia" w:ascii="仿宋" w:hAnsi="仿宋" w:eastAsia="仿宋" w:cs="仿宋"/>
        </w:rPr>
        <w:t xml:space="preserve">0 </w:t>
      </w:r>
      <w:r>
        <w:rPr>
          <w:rFonts w:hint="eastAsia" w:ascii="仿宋" w:hAnsi="仿宋" w:eastAsia="仿宋" w:cs="仿宋"/>
          <w:spacing w:val="-2"/>
        </w:rPr>
        <w:t>万元</w:t>
      </w:r>
      <w:r>
        <w:rPr>
          <w:rFonts w:hint="eastAsia" w:ascii="仿宋" w:hAnsi="仿宋" w:eastAsia="仿宋" w:cs="仿宋"/>
        </w:rPr>
        <w:t>（</w:t>
      </w:r>
      <w:r>
        <w:rPr>
          <w:rFonts w:hint="eastAsia" w:ascii="仿宋" w:hAnsi="仿宋" w:eastAsia="仿宋" w:cs="仿宋"/>
          <w:spacing w:val="-10"/>
        </w:rPr>
        <w:t xml:space="preserve">其中：公务用车购置费 </w:t>
      </w:r>
      <w:r>
        <w:rPr>
          <w:rFonts w:hint="eastAsia" w:ascii="仿宋" w:hAnsi="仿宋" w:eastAsia="仿宋" w:cs="仿宋"/>
        </w:rPr>
        <w:t xml:space="preserve">0 </w:t>
      </w:r>
      <w:r>
        <w:rPr>
          <w:rFonts w:hint="eastAsia" w:ascii="仿宋" w:hAnsi="仿宋" w:eastAsia="仿宋" w:cs="仿宋"/>
          <w:spacing w:val="-9"/>
        </w:rPr>
        <w:t xml:space="preserve">万元，公务用车运行维护费 </w:t>
      </w:r>
      <w:r>
        <w:rPr>
          <w:rFonts w:hint="eastAsia" w:ascii="仿宋" w:hAnsi="仿宋" w:eastAsia="仿宋" w:cs="仿宋"/>
        </w:rPr>
        <w:t>0 万元)</w:t>
      </w:r>
      <w:r>
        <w:rPr>
          <w:rFonts w:hint="eastAsia" w:ascii="仿宋" w:hAnsi="仿宋" w:eastAsia="仿宋" w:cs="仿宋"/>
          <w:spacing w:val="-13"/>
        </w:rPr>
        <w:t xml:space="preserve">；公务接待费 </w:t>
      </w:r>
      <w:r>
        <w:rPr>
          <w:rFonts w:hint="eastAsia" w:ascii="仿宋" w:hAnsi="仿宋" w:eastAsia="仿宋" w:cs="仿宋"/>
        </w:rPr>
        <w:t xml:space="preserve">0 </w:t>
      </w:r>
      <w:r>
        <w:rPr>
          <w:rFonts w:hint="eastAsia" w:ascii="仿宋" w:hAnsi="仿宋" w:eastAsia="仿宋" w:cs="仿宋"/>
          <w:spacing w:val="-3"/>
        </w:rPr>
        <w:t>万元。</w:t>
      </w:r>
    </w:p>
    <w:p>
      <w:pPr>
        <w:pStyle w:val="4"/>
        <w:rPr>
          <w:sz w:val="30"/>
        </w:rPr>
      </w:pPr>
    </w:p>
    <w:p>
      <w:pPr>
        <w:autoSpaceDE w:val="0"/>
        <w:autoSpaceDN w:val="0"/>
        <w:adjustRightInd w:val="0"/>
        <w:ind w:left="198" w:firstLine="640" w:firstLineChars="200"/>
        <w:jc w:val="left"/>
        <w:rPr>
          <w:rFonts w:ascii="黑体" w:hAnsi="黑体"/>
          <w:sz w:val="32"/>
          <w:szCs w:val="32"/>
        </w:rPr>
      </w:pPr>
    </w:p>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jc w:val="left"/>
        <w:rPr>
          <w:rFonts w:ascii="黑体" w:hAnsi="黑体" w:eastAsia="黑体"/>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五、预算绩效信息</w:t>
      </w:r>
    </w:p>
    <w:p>
      <w:pPr>
        <w:ind w:firstLine="562" w:firstLineChars="200"/>
        <w:jc w:val="left"/>
        <w:outlineLvl w:val="3"/>
        <w:rPr>
          <w:rFonts w:hAnsi="宋体"/>
          <w:b/>
          <w:sz w:val="28"/>
        </w:rPr>
      </w:pPr>
      <w:r>
        <w:rPr>
          <w:rFonts w:ascii="方正仿宋_GBK" w:eastAsia="方正仿宋_GBK"/>
          <w:b/>
          <w:sz w:val="28"/>
        </w:rPr>
        <w:t xml:space="preserve">  </w:t>
      </w:r>
      <w:bookmarkStart w:id="0" w:name="_Toc66866980"/>
      <w:r>
        <w:rPr>
          <w:rFonts w:ascii="方正仿宋_GBK" w:eastAsia="方正仿宋_GBK"/>
          <w:b/>
          <w:sz w:val="28"/>
        </w:rPr>
        <w:t>1.</w:t>
      </w:r>
      <w:r>
        <w:rPr>
          <w:rFonts w:hint="eastAsia" w:ascii="方正仿宋_GBK" w:eastAsia="方正仿宋_GBK"/>
          <w:b/>
          <w:sz w:val="28"/>
        </w:rPr>
        <w:t>水政监察大队人员经费绩效目标表</w:t>
      </w:r>
      <w:bookmarkEnd w:id="0"/>
      <w:r>
        <w:rPr>
          <w:rFonts w:ascii="方正仿宋_GBK" w:eastAsia="方正仿宋_GBK"/>
          <w:b/>
          <w:sz w:val="28"/>
        </w:rPr>
        <w:fldChar w:fldCharType="begin"/>
      </w:r>
      <w:r>
        <w:rPr>
          <w:rFonts w:ascii="方正仿宋_GBK" w:eastAsia="方正仿宋_GBK"/>
          <w:b/>
          <w:sz w:val="28"/>
        </w:rPr>
        <w:instrText xml:space="preserve">tc "1</w:instrText>
      </w:r>
      <w:r>
        <w:rPr>
          <w:rFonts w:hint="eastAsia" w:ascii="方正仿宋_GBK" w:eastAsia="方正仿宋_GBK"/>
          <w:b/>
          <w:sz w:val="28"/>
        </w:rPr>
        <w:instrText xml:space="preserve">、水政监察大队人员经费绩效目标表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130128212D78TD7TFTUFU</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水政监察大队人员经费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150.00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150.00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用于本单位人员经费各项支出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保证本单位人员经费全部到位，各项业务顺利进行</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应发工资人数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本单位应发工资人数</w:t>
            </w:r>
          </w:p>
        </w:tc>
        <w:tc>
          <w:tcPr>
            <w:tcW w:w="1276" w:type="dxa"/>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缴纳社保费比例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单位人员缴纳社保比例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合格</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支付及时率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工资发放及社保缴费及时率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项目总成本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项目年度安排成本</w:t>
            </w:r>
          </w:p>
        </w:tc>
        <w:tc>
          <w:tcPr>
            <w:tcW w:w="1276" w:type="dxa"/>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万元</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项目能持续运行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项目依据的政策能持续运行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可持续</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服务对象满意的程度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 w:name="_Toc66866981"/>
      <w:r>
        <w:rPr>
          <w:rFonts w:ascii="方正仿宋_GBK" w:eastAsia="方正仿宋_GBK"/>
          <w:b/>
          <w:sz w:val="28"/>
        </w:rPr>
        <w:t>2.</w:t>
      </w:r>
      <w:r>
        <w:rPr>
          <w:rFonts w:hint="eastAsia" w:ascii="方正仿宋_GBK" w:eastAsia="方正仿宋_GBK"/>
          <w:b/>
          <w:sz w:val="28"/>
        </w:rPr>
        <w:t>水政监察大队工作经费绩效目标表</w:t>
      </w:r>
      <w:bookmarkEnd w:id="1"/>
      <w:r>
        <w:rPr>
          <w:rFonts w:ascii="方正仿宋_GBK" w:eastAsia="方正仿宋_GBK"/>
          <w:b/>
          <w:sz w:val="28"/>
        </w:rPr>
        <w:fldChar w:fldCharType="begin"/>
      </w:r>
      <w:r>
        <w:rPr>
          <w:rFonts w:ascii="方正仿宋_GBK" w:eastAsia="方正仿宋_GBK"/>
          <w:b/>
          <w:sz w:val="28"/>
        </w:rPr>
        <w:instrText xml:space="preserve">tc "2</w:instrText>
      </w:r>
      <w:r>
        <w:rPr>
          <w:rFonts w:hint="eastAsia" w:ascii="方正仿宋_GBK" w:eastAsia="方正仿宋_GBK"/>
          <w:b/>
          <w:sz w:val="28"/>
        </w:rPr>
        <w:instrText xml:space="preserve">、水政监察大队工作经费绩效目标表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13012821423IHWATSQAEN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水政监察大队工作经费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用于本单位日常公用各项开支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保证本单位日常各项工作任务和各项业务正常正常运转</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日常工作完成的比例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单位各项工作和业务正常运转的比例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各项工作任务及时完成的比率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项目年度成本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项目年度所需成本</w:t>
            </w:r>
          </w:p>
        </w:tc>
        <w:tc>
          <w:tcPr>
            <w:tcW w:w="1276" w:type="dxa"/>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项目能持续运行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项目依据的政策能持续运行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可持续</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受益群体满意的程度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 w:name="_Toc66866982"/>
      <w:r>
        <w:rPr>
          <w:rFonts w:ascii="方正仿宋_GBK" w:eastAsia="方正仿宋_GBK"/>
          <w:b/>
          <w:sz w:val="28"/>
        </w:rPr>
        <w:t>3.</w:t>
      </w:r>
      <w:r>
        <w:rPr>
          <w:rFonts w:hint="eastAsia" w:ascii="方正仿宋_GBK" w:eastAsia="方正仿宋_GBK"/>
          <w:b/>
          <w:sz w:val="28"/>
        </w:rPr>
        <w:t>缴纳南水北调水费绩效目标表</w:t>
      </w:r>
      <w:bookmarkEnd w:id="2"/>
      <w:r>
        <w:rPr>
          <w:rFonts w:ascii="方正仿宋_GBK" w:eastAsia="方正仿宋_GBK"/>
          <w:b/>
          <w:sz w:val="28"/>
        </w:rPr>
        <w:fldChar w:fldCharType="begin"/>
      </w:r>
      <w:r>
        <w:rPr>
          <w:rFonts w:ascii="方正仿宋_GBK" w:eastAsia="方正仿宋_GBK"/>
          <w:b/>
          <w:sz w:val="28"/>
        </w:rPr>
        <w:instrText xml:space="preserve">tc "3</w:instrText>
      </w:r>
      <w:r>
        <w:rPr>
          <w:rFonts w:hint="eastAsia" w:ascii="方正仿宋_GBK" w:eastAsia="方正仿宋_GBK"/>
          <w:b/>
          <w:sz w:val="28"/>
        </w:rPr>
        <w:instrText xml:space="preserve">、缴纳南水北调水费绩效目标表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1301282162RSGLYP8Y797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缴纳南水北调水费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缴纳南水北调水费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消纳引江水</w:t>
            </w:r>
            <w:r>
              <w:rPr>
                <w:rFonts w:ascii="方正书宋_GBK" w:eastAsia="方正书宋_GBK"/>
              </w:rPr>
              <w:t>600.5</w:t>
            </w:r>
            <w:r>
              <w:rPr>
                <w:rFonts w:hint="eastAsia" w:ascii="方正书宋_GBK" w:eastAsia="方正书宋_GBK"/>
              </w:rPr>
              <w:t>立方米</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消纳引江水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消纳引江水</w:t>
            </w:r>
          </w:p>
        </w:tc>
        <w:tc>
          <w:tcPr>
            <w:tcW w:w="1276" w:type="dxa"/>
            <w:vAlign w:val="center"/>
          </w:tcPr>
          <w:p>
            <w:pPr>
              <w:spacing w:line="300" w:lineRule="exact"/>
              <w:jc w:val="left"/>
              <w:rPr>
                <w:rFonts w:ascii="方正书宋_GBK" w:eastAsia="方正书宋_GBK"/>
              </w:rPr>
            </w:pPr>
            <w:r>
              <w:rPr>
                <w:rFonts w:ascii="方正书宋_GBK" w:eastAsia="方正书宋_GBK"/>
              </w:rPr>
              <w:t>600.6</w:t>
            </w:r>
            <w:r>
              <w:rPr>
                <w:rFonts w:hint="eastAsia" w:ascii="方正书宋_GBK" w:eastAsia="方正书宋_GBK"/>
              </w:rPr>
              <w:t>万立方米</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质量指标完成率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项目实际支出是否控制在预算内</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保证居民生活和企业生产用水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保障居民生活和企业生产用水</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 w:name="_Toc66866983"/>
      <w:r>
        <w:rPr>
          <w:rFonts w:ascii="方正仿宋_GBK" w:eastAsia="方正仿宋_GBK"/>
          <w:b/>
          <w:sz w:val="28"/>
        </w:rPr>
        <w:t>4.</w:t>
      </w:r>
      <w:r>
        <w:rPr>
          <w:rFonts w:hint="eastAsia" w:ascii="方正仿宋_GBK" w:eastAsia="方正仿宋_GBK"/>
          <w:b/>
          <w:sz w:val="28"/>
        </w:rPr>
        <w:t>提前下达</w:t>
      </w:r>
      <w:r>
        <w:rPr>
          <w:rFonts w:ascii="方正仿宋_GBK" w:eastAsia="方正仿宋_GBK"/>
          <w:b/>
          <w:sz w:val="28"/>
        </w:rPr>
        <w:t>2021</w:t>
      </w:r>
      <w:r>
        <w:rPr>
          <w:rFonts w:hint="eastAsia" w:ascii="方正仿宋_GBK" w:eastAsia="方正仿宋_GBK"/>
          <w:b/>
          <w:sz w:val="28"/>
        </w:rPr>
        <w:t>年市级水利发展资金（石财农【</w:t>
      </w:r>
      <w:r>
        <w:rPr>
          <w:rFonts w:ascii="方正仿宋_GBK" w:eastAsia="方正仿宋_GBK"/>
          <w:b/>
          <w:sz w:val="28"/>
        </w:rPr>
        <w:t>2020</w:t>
      </w:r>
      <w:r>
        <w:rPr>
          <w:rFonts w:hint="eastAsia" w:ascii="方正仿宋_GBK" w:eastAsia="方正仿宋_GBK"/>
          <w:b/>
          <w:sz w:val="28"/>
        </w:rPr>
        <w:t>】</w:t>
      </w:r>
      <w:r>
        <w:rPr>
          <w:rFonts w:ascii="方正仿宋_GBK" w:eastAsia="方正仿宋_GBK"/>
          <w:b/>
          <w:sz w:val="28"/>
        </w:rPr>
        <w:t>114</w:t>
      </w:r>
      <w:r>
        <w:rPr>
          <w:rFonts w:hint="eastAsia" w:ascii="方正仿宋_GBK" w:eastAsia="方正仿宋_GBK"/>
          <w:b/>
          <w:sz w:val="28"/>
        </w:rPr>
        <w:t>号）绩效目标表</w:t>
      </w:r>
      <w:bookmarkEnd w:id="3"/>
      <w:r>
        <w:rPr>
          <w:rFonts w:ascii="方正仿宋_GBK" w:eastAsia="方正仿宋_GBK"/>
          <w:b/>
          <w:sz w:val="28"/>
        </w:rPr>
        <w:fldChar w:fldCharType="begin"/>
      </w:r>
      <w:r>
        <w:rPr>
          <w:rFonts w:ascii="方正仿宋_GBK" w:eastAsia="方正仿宋_GBK"/>
          <w:b/>
          <w:sz w:val="28"/>
        </w:rPr>
        <w:instrText xml:space="preserve">tc "4</w:instrText>
      </w:r>
      <w:r>
        <w:rPr>
          <w:rFonts w:hint="eastAsia" w:ascii="方正仿宋_GBK" w:eastAsia="方正仿宋_GBK"/>
          <w:b/>
          <w:sz w:val="28"/>
        </w:rPr>
        <w:instrText xml:space="preserve">、提前下达</w:instrText>
      </w:r>
      <w:r>
        <w:rPr>
          <w:rFonts w:ascii="方正仿宋_GBK" w:eastAsia="方正仿宋_GBK"/>
          <w:b/>
          <w:sz w:val="28"/>
        </w:rPr>
        <w:instrText xml:space="preserve">2021</w:instrText>
      </w:r>
      <w:r>
        <w:rPr>
          <w:rFonts w:hint="eastAsia" w:ascii="方正仿宋_GBK" w:eastAsia="方正仿宋_GBK"/>
          <w:b/>
          <w:sz w:val="28"/>
        </w:rPr>
        <w:instrText xml:space="preserve">年市级水利发展资金（石财农【</w:instrText>
      </w:r>
      <w:r>
        <w:rPr>
          <w:rFonts w:ascii="方正仿宋_GBK" w:eastAsia="方正仿宋_GBK"/>
          <w:b/>
          <w:sz w:val="28"/>
        </w:rPr>
        <w:instrText xml:space="preserve">2020</w:instrText>
      </w:r>
      <w:r>
        <w:rPr>
          <w:rFonts w:hint="eastAsia" w:ascii="方正仿宋_GBK" w:eastAsia="方正仿宋_GBK"/>
          <w:b/>
          <w:sz w:val="28"/>
        </w:rPr>
        <w:instrText xml:space="preserve">】</w:instrText>
      </w:r>
      <w:r>
        <w:rPr>
          <w:rFonts w:ascii="方正仿宋_GBK" w:eastAsia="方正仿宋_GBK"/>
          <w:b/>
          <w:sz w:val="28"/>
        </w:rPr>
        <w:instrText xml:space="preserve">114</w:instrText>
      </w:r>
      <w:r>
        <w:rPr>
          <w:rFonts w:hint="eastAsia" w:ascii="方正仿宋_GBK" w:eastAsia="方正仿宋_GBK"/>
          <w:b/>
          <w:sz w:val="28"/>
        </w:rPr>
        <w:instrText xml:space="preserve">号）绩效目标表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130128217GVP1UVENU8PE</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年市级水利发展资金（石财农【</w:t>
            </w:r>
            <w:r>
              <w:rPr>
                <w:rFonts w:ascii="方正书宋_GBK" w:eastAsia="方正书宋_GBK"/>
              </w:rPr>
              <w:t>2020</w:t>
            </w:r>
            <w:r>
              <w:rPr>
                <w:rFonts w:hint="eastAsia" w:ascii="方正书宋_GBK" w:eastAsia="方正书宋_GBK"/>
              </w:rPr>
              <w:t>】</w:t>
            </w:r>
            <w:r>
              <w:rPr>
                <w:rFonts w:ascii="方正书宋_GBK" w:eastAsia="方正书宋_GBK"/>
              </w:rPr>
              <w:t>114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6.36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6.36</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村级河长巡河护河补助资金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对辖区内河流水生态保护管理工作负责</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村级河长每周至少巡河</w:t>
            </w:r>
            <w:r>
              <w:rPr>
                <w:rFonts w:ascii="方正书宋_GBK" w:eastAsia="方正书宋_GBK"/>
              </w:rPr>
              <w:t>2</w:t>
            </w:r>
            <w:r>
              <w:rPr>
                <w:rFonts w:hint="eastAsia" w:ascii="方正书宋_GBK" w:eastAsia="方正书宋_GBK"/>
              </w:rPr>
              <w:t>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村级河长每周至少巡河</w:t>
            </w:r>
            <w:r>
              <w:rPr>
                <w:rFonts w:ascii="方正书宋_GBK" w:eastAsia="方正书宋_GBK"/>
              </w:rPr>
              <w:t>2</w:t>
            </w:r>
            <w:r>
              <w:rPr>
                <w:rFonts w:hint="eastAsia" w:ascii="方正书宋_GBK" w:eastAsia="方正书宋_GBK"/>
              </w:rPr>
              <w:t>次</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巡河发现的问题及时处理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巡河发现的问题及时处理</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年底完成</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控制在预算内</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经济效益</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促进地区生态文明发展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4" w:name="_Toc66866984"/>
      <w:r>
        <w:rPr>
          <w:rFonts w:ascii="方正仿宋_GBK" w:eastAsia="方正仿宋_GBK"/>
          <w:b/>
          <w:sz w:val="28"/>
        </w:rPr>
        <w:t>5.</w:t>
      </w:r>
      <w:r>
        <w:rPr>
          <w:rFonts w:hint="eastAsia" w:ascii="方正仿宋_GBK" w:eastAsia="方正仿宋_GBK"/>
          <w:b/>
          <w:sz w:val="28"/>
        </w:rPr>
        <w:t>提前下达</w:t>
      </w:r>
      <w:r>
        <w:rPr>
          <w:rFonts w:ascii="方正仿宋_GBK" w:eastAsia="方正仿宋_GBK"/>
          <w:b/>
          <w:sz w:val="28"/>
        </w:rPr>
        <w:t>2021</w:t>
      </w:r>
      <w:r>
        <w:rPr>
          <w:rFonts w:hint="eastAsia" w:ascii="方正仿宋_GBK" w:eastAsia="方正仿宋_GBK"/>
          <w:b/>
          <w:sz w:val="28"/>
        </w:rPr>
        <w:t>年度省级地下水超采综合治理专项资金（冀财农【</w:t>
      </w:r>
      <w:r>
        <w:rPr>
          <w:rFonts w:ascii="方正仿宋_GBK" w:eastAsia="方正仿宋_GBK"/>
          <w:b/>
          <w:sz w:val="28"/>
        </w:rPr>
        <w:t>2020</w:t>
      </w:r>
      <w:r>
        <w:rPr>
          <w:rFonts w:hint="eastAsia" w:ascii="方正仿宋_GBK" w:eastAsia="方正仿宋_GBK"/>
          <w:b/>
          <w:sz w:val="28"/>
        </w:rPr>
        <w:t>】</w:t>
      </w:r>
      <w:r>
        <w:rPr>
          <w:rFonts w:ascii="方正仿宋_GBK" w:eastAsia="方正仿宋_GBK"/>
          <w:b/>
          <w:sz w:val="28"/>
        </w:rPr>
        <w:t>146</w:t>
      </w:r>
      <w:r>
        <w:rPr>
          <w:rFonts w:hint="eastAsia" w:ascii="方正仿宋_GBK" w:eastAsia="方正仿宋_GBK"/>
          <w:b/>
          <w:sz w:val="28"/>
        </w:rPr>
        <w:t>号</w:t>
      </w:r>
      <w:r>
        <w:rPr>
          <w:rFonts w:ascii="方正仿宋_GBK" w:eastAsia="方正仿宋_GBK"/>
          <w:b/>
          <w:sz w:val="28"/>
        </w:rPr>
        <w:t>)</w:t>
      </w:r>
      <w:r>
        <w:rPr>
          <w:rFonts w:hint="eastAsia" w:ascii="方正仿宋_GBK" w:eastAsia="方正仿宋_GBK"/>
          <w:b/>
          <w:sz w:val="28"/>
        </w:rPr>
        <w:t>绩效目标表</w:t>
      </w:r>
      <w:bookmarkEnd w:id="4"/>
      <w:r>
        <w:rPr>
          <w:rFonts w:ascii="方正仿宋_GBK" w:eastAsia="方正仿宋_GBK"/>
          <w:b/>
          <w:sz w:val="28"/>
        </w:rPr>
        <w:fldChar w:fldCharType="begin"/>
      </w:r>
      <w:r>
        <w:rPr>
          <w:rFonts w:ascii="方正仿宋_GBK" w:eastAsia="方正仿宋_GBK"/>
          <w:b/>
          <w:sz w:val="28"/>
        </w:rPr>
        <w:instrText xml:space="preserve">tc "5</w:instrText>
      </w:r>
      <w:r>
        <w:rPr>
          <w:rFonts w:hint="eastAsia" w:ascii="方正仿宋_GBK" w:eastAsia="方正仿宋_GBK"/>
          <w:b/>
          <w:sz w:val="28"/>
        </w:rPr>
        <w:instrText xml:space="preserve">、提前下达</w:instrText>
      </w:r>
      <w:r>
        <w:rPr>
          <w:rFonts w:ascii="方正仿宋_GBK" w:eastAsia="方正仿宋_GBK"/>
          <w:b/>
          <w:sz w:val="28"/>
        </w:rPr>
        <w:instrText xml:space="preserve">2021</w:instrText>
      </w:r>
      <w:r>
        <w:rPr>
          <w:rFonts w:hint="eastAsia" w:ascii="方正仿宋_GBK" w:eastAsia="方正仿宋_GBK"/>
          <w:b/>
          <w:sz w:val="28"/>
        </w:rPr>
        <w:instrText xml:space="preserve">年度省级地下水超采综合治理专项资金（冀财农【</w:instrText>
      </w:r>
      <w:r>
        <w:rPr>
          <w:rFonts w:ascii="方正仿宋_GBK" w:eastAsia="方正仿宋_GBK"/>
          <w:b/>
          <w:sz w:val="28"/>
        </w:rPr>
        <w:instrText xml:space="preserve">2020</w:instrText>
      </w:r>
      <w:r>
        <w:rPr>
          <w:rFonts w:hint="eastAsia" w:ascii="方正仿宋_GBK" w:eastAsia="方正仿宋_GBK"/>
          <w:b/>
          <w:sz w:val="28"/>
        </w:rPr>
        <w:instrText xml:space="preserve">】</w:instrText>
      </w:r>
      <w:r>
        <w:rPr>
          <w:rFonts w:ascii="方正仿宋_GBK" w:eastAsia="方正仿宋_GBK"/>
          <w:b/>
          <w:sz w:val="28"/>
        </w:rPr>
        <w:instrText xml:space="preserve">146</w:instrText>
      </w:r>
      <w:r>
        <w:rPr>
          <w:rFonts w:hint="eastAsia" w:ascii="方正仿宋_GBK" w:eastAsia="方正仿宋_GBK"/>
          <w:b/>
          <w:sz w:val="28"/>
        </w:rPr>
        <w:instrText xml:space="preserve">号</w:instrText>
      </w:r>
      <w:r>
        <w:rPr>
          <w:rFonts w:ascii="方正仿宋_GBK" w:eastAsia="方正仿宋_GBK"/>
          <w:b/>
          <w:sz w:val="28"/>
        </w:rPr>
        <w:instrText xml:space="preserve">)</w:instrText>
      </w:r>
      <w:r>
        <w:rPr>
          <w:rFonts w:hint="eastAsia" w:ascii="方正仿宋_GBK" w:eastAsia="方正仿宋_GBK"/>
          <w:b/>
          <w:sz w:val="28"/>
        </w:rPr>
        <w:instrText xml:space="preserve">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13012821AZT0S0988UR55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年度省级地下水超采综合治理专项资金（冀财农【</w:t>
            </w:r>
            <w:r>
              <w:rPr>
                <w:rFonts w:ascii="方正书宋_GBK" w:eastAsia="方正书宋_GBK"/>
              </w:rPr>
              <w:t>2020</w:t>
            </w:r>
            <w:r>
              <w:rPr>
                <w:rFonts w:hint="eastAsia" w:ascii="方正书宋_GBK" w:eastAsia="方正书宋_GBK"/>
              </w:rPr>
              <w:t>】</w:t>
            </w:r>
            <w:r>
              <w:rPr>
                <w:rFonts w:ascii="方正书宋_GBK" w:eastAsia="方正书宋_GBK"/>
              </w:rPr>
              <w:t>146</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资金用于地下水超采综合治理，减少地下水开采量，保护地下水资源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控制地下水开采量</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完成项目数量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完成项目数量</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按总成本控制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按总成本控制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控制在预算内</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保护水资源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为地下水超采综合治理提供数据支撑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5" w:name="_Toc66866985"/>
      <w:r>
        <w:rPr>
          <w:rFonts w:ascii="方正仿宋_GBK" w:eastAsia="方正仿宋_GBK"/>
          <w:b/>
          <w:sz w:val="28"/>
        </w:rPr>
        <w:t>6.</w:t>
      </w:r>
      <w:r>
        <w:rPr>
          <w:rFonts w:hint="eastAsia" w:ascii="方正仿宋_GBK" w:eastAsia="方正仿宋_GBK"/>
          <w:b/>
          <w:sz w:val="28"/>
        </w:rPr>
        <w:t>滹沱河生态修复二期工程资金绩效目标表</w:t>
      </w:r>
      <w:bookmarkEnd w:id="5"/>
      <w:r>
        <w:rPr>
          <w:rFonts w:ascii="方正仿宋_GBK" w:eastAsia="方正仿宋_GBK"/>
          <w:b/>
          <w:sz w:val="28"/>
        </w:rPr>
        <w:fldChar w:fldCharType="begin"/>
      </w:r>
      <w:r>
        <w:rPr>
          <w:rFonts w:ascii="方正仿宋_GBK" w:eastAsia="方正仿宋_GBK"/>
          <w:b/>
          <w:sz w:val="28"/>
        </w:rPr>
        <w:instrText xml:space="preserve">tc "6</w:instrText>
      </w:r>
      <w:r>
        <w:rPr>
          <w:rFonts w:hint="eastAsia" w:ascii="方正仿宋_GBK" w:eastAsia="方正仿宋_GBK"/>
          <w:b/>
          <w:sz w:val="28"/>
        </w:rPr>
        <w:instrText xml:space="preserve">、滹沱河生态修复二期工程资金绩效目标表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13012821FL9VI7A89HTRT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滹沱河生态修复二期工程资金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778.45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778.45</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用于滹沱河生态修复工程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100.00%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滹沱河河道水生态修复长度</w:t>
            </w:r>
            <w:r>
              <w:rPr>
                <w:rFonts w:ascii="方正书宋_GBK" w:eastAsia="方正书宋_GBK"/>
              </w:rPr>
              <w:t>23.2</w:t>
            </w:r>
            <w:r>
              <w:rPr>
                <w:rFonts w:hint="eastAsia" w:ascii="方正书宋_GBK" w:eastAsia="方正书宋_GBK"/>
              </w:rPr>
              <w:t>公里</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覆盖长度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深泽覆盖长度</w:t>
            </w:r>
          </w:p>
        </w:tc>
        <w:tc>
          <w:tcPr>
            <w:tcW w:w="1276" w:type="dxa"/>
            <w:vAlign w:val="center"/>
          </w:tcPr>
          <w:p>
            <w:pPr>
              <w:spacing w:line="300" w:lineRule="exact"/>
              <w:jc w:val="left"/>
              <w:rPr>
                <w:rFonts w:ascii="方正书宋_GBK" w:eastAsia="方正书宋_GBK"/>
              </w:rPr>
            </w:pPr>
            <w:r>
              <w:rPr>
                <w:rFonts w:ascii="方正书宋_GBK" w:eastAsia="方正书宋_GBK"/>
              </w:rPr>
              <w:t>23.2</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工程质量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工程质量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合格</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按要求完成</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按要求支出</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经济发展</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促进区域经济社会发展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促进区域经济社会发展</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生态发展</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促进区域生态发展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促进区域生态发展</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让大多数群众满意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6" w:name="_Toc66866986"/>
      <w:r>
        <w:rPr>
          <w:rFonts w:ascii="方正仿宋_GBK" w:eastAsia="方正仿宋_GBK"/>
          <w:b/>
          <w:sz w:val="28"/>
        </w:rPr>
        <w:t>7.</w:t>
      </w:r>
      <w:r>
        <w:rPr>
          <w:rFonts w:hint="eastAsia" w:ascii="方正仿宋_GBK" w:eastAsia="方正仿宋_GBK"/>
          <w:b/>
          <w:sz w:val="28"/>
        </w:rPr>
        <w:t>滹沱河生态修复工程绩效目标表</w:t>
      </w:r>
      <w:bookmarkEnd w:id="6"/>
      <w:r>
        <w:rPr>
          <w:rFonts w:ascii="方正仿宋_GBK" w:eastAsia="方正仿宋_GBK"/>
          <w:b/>
          <w:sz w:val="28"/>
        </w:rPr>
        <w:fldChar w:fldCharType="begin"/>
      </w:r>
      <w:r>
        <w:rPr>
          <w:rFonts w:ascii="方正仿宋_GBK" w:eastAsia="方正仿宋_GBK"/>
          <w:b/>
          <w:sz w:val="28"/>
        </w:rPr>
        <w:instrText xml:space="preserve">tc "7</w:instrText>
      </w:r>
      <w:r>
        <w:rPr>
          <w:rFonts w:hint="eastAsia" w:ascii="方正仿宋_GBK" w:eastAsia="方正仿宋_GBK"/>
          <w:b/>
          <w:sz w:val="28"/>
        </w:rPr>
        <w:instrText xml:space="preserve">、滹沱河生态修复工程绩效目标表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13012821GMZR47S34KDO8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滹沱河生态修复工程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1922.00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1922.00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用于滹沱河生态修复工程耕地占用税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滹沱河河道水生态修复长度</w:t>
            </w:r>
            <w:r>
              <w:rPr>
                <w:rFonts w:ascii="方正书宋_GBK" w:eastAsia="方正书宋_GBK"/>
              </w:rPr>
              <w:t>23.2</w:t>
            </w:r>
            <w:r>
              <w:rPr>
                <w:rFonts w:hint="eastAsia" w:ascii="方正书宋_GBK" w:eastAsia="方正书宋_GBK"/>
              </w:rPr>
              <w:t>公里</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覆盖长度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深泽覆盖长度</w:t>
            </w:r>
          </w:p>
        </w:tc>
        <w:tc>
          <w:tcPr>
            <w:tcW w:w="1276" w:type="dxa"/>
            <w:vAlign w:val="center"/>
          </w:tcPr>
          <w:p>
            <w:pPr>
              <w:spacing w:line="300" w:lineRule="exact"/>
              <w:jc w:val="left"/>
              <w:rPr>
                <w:rFonts w:ascii="方正书宋_GBK" w:eastAsia="方正书宋_GBK"/>
              </w:rPr>
            </w:pPr>
            <w:r>
              <w:rPr>
                <w:rFonts w:ascii="方正书宋_GBK" w:eastAsia="方正书宋_GBK"/>
              </w:rPr>
              <w:t>23.2</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工程质量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工程质量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合格</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按要求完成</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按要求支出</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经济发展</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促进区域经济社会发展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促进区域经济社会发展</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生态发展</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促进区域生态发展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促进区域生态发展</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让大多数群众满意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7" w:name="_Toc66866987"/>
      <w:r>
        <w:rPr>
          <w:rFonts w:ascii="方正仿宋_GBK" w:eastAsia="方正仿宋_GBK"/>
          <w:b/>
          <w:sz w:val="28"/>
        </w:rPr>
        <w:t>8.</w:t>
      </w:r>
      <w:r>
        <w:rPr>
          <w:rFonts w:hint="eastAsia" w:ascii="方正仿宋_GBK" w:eastAsia="方正仿宋_GBK"/>
          <w:b/>
          <w:sz w:val="28"/>
        </w:rPr>
        <w:t>提前下达</w:t>
      </w:r>
      <w:r>
        <w:rPr>
          <w:rFonts w:ascii="方正仿宋_GBK" w:eastAsia="方正仿宋_GBK"/>
          <w:b/>
          <w:sz w:val="28"/>
        </w:rPr>
        <w:t>2021</w:t>
      </w:r>
      <w:r>
        <w:rPr>
          <w:rFonts w:hint="eastAsia" w:ascii="方正仿宋_GBK" w:eastAsia="方正仿宋_GBK"/>
          <w:b/>
          <w:sz w:val="28"/>
        </w:rPr>
        <w:t>年中央水库移民扶持基金（冀财农【</w:t>
      </w:r>
      <w:r>
        <w:rPr>
          <w:rFonts w:ascii="方正仿宋_GBK" w:eastAsia="方正仿宋_GBK"/>
          <w:b/>
          <w:sz w:val="28"/>
        </w:rPr>
        <w:t>2020</w:t>
      </w:r>
      <w:r>
        <w:rPr>
          <w:rFonts w:hint="eastAsia" w:ascii="方正仿宋_GBK" w:eastAsia="方正仿宋_GBK"/>
          <w:b/>
          <w:sz w:val="28"/>
        </w:rPr>
        <w:t>】</w:t>
      </w:r>
      <w:r>
        <w:rPr>
          <w:rFonts w:ascii="方正仿宋_GBK" w:eastAsia="方正仿宋_GBK"/>
          <w:b/>
          <w:sz w:val="28"/>
        </w:rPr>
        <w:t>126</w:t>
      </w:r>
      <w:r>
        <w:rPr>
          <w:rFonts w:hint="eastAsia" w:ascii="方正仿宋_GBK" w:eastAsia="方正仿宋_GBK"/>
          <w:b/>
          <w:sz w:val="28"/>
        </w:rPr>
        <w:t>号）绩效目标表</w:t>
      </w:r>
      <w:bookmarkEnd w:id="7"/>
      <w:r>
        <w:rPr>
          <w:rFonts w:ascii="方正仿宋_GBK" w:eastAsia="方正仿宋_GBK"/>
          <w:b/>
          <w:sz w:val="28"/>
        </w:rPr>
        <w:fldChar w:fldCharType="begin"/>
      </w:r>
      <w:r>
        <w:rPr>
          <w:rFonts w:ascii="方正仿宋_GBK" w:eastAsia="方正仿宋_GBK"/>
          <w:b/>
          <w:sz w:val="28"/>
        </w:rPr>
        <w:instrText xml:space="preserve">tc "8</w:instrText>
      </w:r>
      <w:r>
        <w:rPr>
          <w:rFonts w:hint="eastAsia" w:ascii="方正仿宋_GBK" w:eastAsia="方正仿宋_GBK"/>
          <w:b/>
          <w:sz w:val="28"/>
        </w:rPr>
        <w:instrText xml:space="preserve">、提前下达</w:instrText>
      </w:r>
      <w:r>
        <w:rPr>
          <w:rFonts w:ascii="方正仿宋_GBK" w:eastAsia="方正仿宋_GBK"/>
          <w:b/>
          <w:sz w:val="28"/>
        </w:rPr>
        <w:instrText xml:space="preserve">2021</w:instrText>
      </w:r>
      <w:r>
        <w:rPr>
          <w:rFonts w:hint="eastAsia" w:ascii="方正仿宋_GBK" w:eastAsia="方正仿宋_GBK"/>
          <w:b/>
          <w:sz w:val="28"/>
        </w:rPr>
        <w:instrText xml:space="preserve">年中央水库移民扶持基金（冀财农【</w:instrText>
      </w:r>
      <w:r>
        <w:rPr>
          <w:rFonts w:ascii="方正仿宋_GBK" w:eastAsia="方正仿宋_GBK"/>
          <w:b/>
          <w:sz w:val="28"/>
        </w:rPr>
        <w:instrText xml:space="preserve">2020</w:instrText>
      </w:r>
      <w:r>
        <w:rPr>
          <w:rFonts w:hint="eastAsia" w:ascii="方正仿宋_GBK" w:eastAsia="方正仿宋_GBK"/>
          <w:b/>
          <w:sz w:val="28"/>
        </w:rPr>
        <w:instrText xml:space="preserve">】</w:instrText>
      </w:r>
      <w:r>
        <w:rPr>
          <w:rFonts w:ascii="方正仿宋_GBK" w:eastAsia="方正仿宋_GBK"/>
          <w:b/>
          <w:sz w:val="28"/>
        </w:rPr>
        <w:instrText xml:space="preserve">126</w:instrText>
      </w:r>
      <w:r>
        <w:rPr>
          <w:rFonts w:hint="eastAsia" w:ascii="方正仿宋_GBK" w:eastAsia="方正仿宋_GBK"/>
          <w:b/>
          <w:sz w:val="28"/>
        </w:rPr>
        <w:instrText xml:space="preserve">号）绩效目标表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13012821IYB1EY09D2PB8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年中央水库移民扶持基金（冀财农【</w:t>
            </w:r>
            <w:r>
              <w:rPr>
                <w:rFonts w:ascii="方正书宋_GBK" w:eastAsia="方正书宋_GBK"/>
              </w:rPr>
              <w:t>2020</w:t>
            </w:r>
            <w:r>
              <w:rPr>
                <w:rFonts w:hint="eastAsia" w:ascii="方正书宋_GBK" w:eastAsia="方正书宋_GBK"/>
              </w:rPr>
              <w:t>】</w:t>
            </w:r>
            <w:r>
              <w:rPr>
                <w:rFonts w:ascii="方正书宋_GBK" w:eastAsia="方正书宋_GBK"/>
              </w:rPr>
              <w:t>126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1.74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1.74</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资金用于水库移民补助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避险解困移民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帮助移民建立美丽家园</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资金直补受益移民（人）</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资金直补受益移民数</w:t>
            </w:r>
          </w:p>
        </w:tc>
        <w:tc>
          <w:tcPr>
            <w:tcW w:w="1276" w:type="dxa"/>
            <w:vAlign w:val="center"/>
          </w:tcPr>
          <w:p>
            <w:pPr>
              <w:spacing w:line="300" w:lineRule="exact"/>
              <w:jc w:val="left"/>
              <w:rPr>
                <w:rFonts w:ascii="方正书宋_GBK" w:eastAsia="方正书宋_GBK"/>
              </w:rPr>
            </w:pPr>
            <w:r>
              <w:rPr>
                <w:rFonts w:ascii="方正书宋_GBK" w:eastAsia="方正书宋_GBK"/>
              </w:rPr>
              <w:t>27</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直补资金按时发放率（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直补资金按时发放率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控制在预算内</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增加移民人均可支配收入</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增加移民人均可支配收入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增加移民收入</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移民满意度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8" w:name="_Toc66866988"/>
      <w:r>
        <w:rPr>
          <w:rFonts w:ascii="方正仿宋_GBK" w:eastAsia="方正仿宋_GBK"/>
          <w:b/>
          <w:sz w:val="28"/>
        </w:rPr>
        <w:t>9.</w:t>
      </w:r>
      <w:r>
        <w:rPr>
          <w:rFonts w:hint="eastAsia" w:ascii="方正仿宋_GBK" w:eastAsia="方正仿宋_GBK"/>
          <w:b/>
          <w:sz w:val="28"/>
        </w:rPr>
        <w:t>提前下达</w:t>
      </w:r>
      <w:r>
        <w:rPr>
          <w:rFonts w:ascii="方正仿宋_GBK" w:eastAsia="方正仿宋_GBK"/>
          <w:b/>
          <w:sz w:val="28"/>
        </w:rPr>
        <w:t>2021</w:t>
      </w:r>
      <w:r>
        <w:rPr>
          <w:rFonts w:hint="eastAsia" w:ascii="方正仿宋_GBK" w:eastAsia="方正仿宋_GBK"/>
          <w:b/>
          <w:sz w:val="28"/>
        </w:rPr>
        <w:t>年中央水利发展资金（冀财农【</w:t>
      </w:r>
      <w:r>
        <w:rPr>
          <w:rFonts w:ascii="方正仿宋_GBK" w:eastAsia="方正仿宋_GBK"/>
          <w:b/>
          <w:sz w:val="28"/>
        </w:rPr>
        <w:t>2020</w:t>
      </w:r>
      <w:r>
        <w:rPr>
          <w:rFonts w:hint="eastAsia" w:ascii="方正仿宋_GBK" w:eastAsia="方正仿宋_GBK"/>
          <w:b/>
          <w:sz w:val="28"/>
        </w:rPr>
        <w:t>】</w:t>
      </w:r>
      <w:r>
        <w:rPr>
          <w:rFonts w:ascii="方正仿宋_GBK" w:eastAsia="方正仿宋_GBK"/>
          <w:b/>
          <w:sz w:val="28"/>
        </w:rPr>
        <w:t>135</w:t>
      </w:r>
      <w:r>
        <w:rPr>
          <w:rFonts w:hint="eastAsia" w:ascii="方正仿宋_GBK" w:eastAsia="方正仿宋_GBK"/>
          <w:b/>
          <w:sz w:val="28"/>
        </w:rPr>
        <w:t>号）绩效目标表</w:t>
      </w:r>
      <w:bookmarkEnd w:id="8"/>
      <w:r>
        <w:rPr>
          <w:rFonts w:ascii="方正仿宋_GBK" w:eastAsia="方正仿宋_GBK"/>
          <w:b/>
          <w:sz w:val="28"/>
        </w:rPr>
        <w:fldChar w:fldCharType="begin"/>
      </w:r>
      <w:r>
        <w:rPr>
          <w:rFonts w:ascii="方正仿宋_GBK" w:eastAsia="方正仿宋_GBK"/>
          <w:b/>
          <w:sz w:val="28"/>
        </w:rPr>
        <w:instrText xml:space="preserve">tc "9</w:instrText>
      </w:r>
      <w:r>
        <w:rPr>
          <w:rFonts w:hint="eastAsia" w:ascii="方正仿宋_GBK" w:eastAsia="方正仿宋_GBK"/>
          <w:b/>
          <w:sz w:val="28"/>
        </w:rPr>
        <w:instrText xml:space="preserve">、提前下达</w:instrText>
      </w:r>
      <w:r>
        <w:rPr>
          <w:rFonts w:ascii="方正仿宋_GBK" w:eastAsia="方正仿宋_GBK"/>
          <w:b/>
          <w:sz w:val="28"/>
        </w:rPr>
        <w:instrText xml:space="preserve">2021</w:instrText>
      </w:r>
      <w:r>
        <w:rPr>
          <w:rFonts w:hint="eastAsia" w:ascii="方正仿宋_GBK" w:eastAsia="方正仿宋_GBK"/>
          <w:b/>
          <w:sz w:val="28"/>
        </w:rPr>
        <w:instrText xml:space="preserve">年中央水利发展资金（冀财农【</w:instrText>
      </w:r>
      <w:r>
        <w:rPr>
          <w:rFonts w:ascii="方正仿宋_GBK" w:eastAsia="方正仿宋_GBK"/>
          <w:b/>
          <w:sz w:val="28"/>
        </w:rPr>
        <w:instrText xml:space="preserve">2020</w:instrText>
      </w:r>
      <w:r>
        <w:rPr>
          <w:rFonts w:hint="eastAsia" w:ascii="方正仿宋_GBK" w:eastAsia="方正仿宋_GBK"/>
          <w:b/>
          <w:sz w:val="28"/>
        </w:rPr>
        <w:instrText xml:space="preserve">】</w:instrText>
      </w:r>
      <w:r>
        <w:rPr>
          <w:rFonts w:ascii="方正仿宋_GBK" w:eastAsia="方正仿宋_GBK"/>
          <w:b/>
          <w:sz w:val="28"/>
        </w:rPr>
        <w:instrText xml:space="preserve">135</w:instrText>
      </w:r>
      <w:r>
        <w:rPr>
          <w:rFonts w:hint="eastAsia" w:ascii="方正仿宋_GBK" w:eastAsia="方正仿宋_GBK"/>
          <w:b/>
          <w:sz w:val="28"/>
        </w:rPr>
        <w:instrText xml:space="preserve">号）绩效目标表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13012821SUC0YNH757IMF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年中央水利发展资金（冀财农【</w:t>
            </w:r>
            <w:r>
              <w:rPr>
                <w:rFonts w:ascii="方正书宋_GBK" w:eastAsia="方正书宋_GBK"/>
              </w:rPr>
              <w:t>2020</w:t>
            </w:r>
            <w:r>
              <w:rPr>
                <w:rFonts w:hint="eastAsia" w:ascii="方正书宋_GBK" w:eastAsia="方正书宋_GBK"/>
              </w:rPr>
              <w:t>】</w:t>
            </w:r>
            <w:r>
              <w:rPr>
                <w:rFonts w:ascii="方正书宋_GBK" w:eastAsia="方正书宋_GBK"/>
              </w:rPr>
              <w:t>135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185.60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185.60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用于该项目的正常开支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30.00%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提高通行能力、确保安全渡讯</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治理中小河流</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治理中小河流</w:t>
            </w:r>
          </w:p>
        </w:tc>
        <w:tc>
          <w:tcPr>
            <w:tcW w:w="1276" w:type="dxa"/>
            <w:vAlign w:val="center"/>
          </w:tcPr>
          <w:p>
            <w:pPr>
              <w:spacing w:line="300" w:lineRule="exact"/>
              <w:jc w:val="left"/>
              <w:rPr>
                <w:rFonts w:ascii="方正书宋_GBK" w:eastAsia="方正书宋_GBK"/>
              </w:rPr>
            </w:pPr>
            <w:r>
              <w:rPr>
                <w:rFonts w:ascii="方正书宋_GBK" w:eastAsia="方正书宋_GBK"/>
              </w:rPr>
              <w:t>2324</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1276" w:type="dxa"/>
            <w:vAlign w:val="center"/>
          </w:tcPr>
          <w:p>
            <w:pPr>
              <w:spacing w:line="300" w:lineRule="exact"/>
              <w:jc w:val="left"/>
              <w:rPr>
                <w:rFonts w:ascii="方正书宋_GBK" w:eastAsia="方正书宋_GBK"/>
              </w:rPr>
            </w:pPr>
            <w:r>
              <w:rPr>
                <w:rFonts w:ascii="方正书宋_GBK" w:eastAsia="方正书宋_GBK"/>
              </w:rPr>
              <w:t>100100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vAlign w:val="center"/>
          </w:tcPr>
          <w:p>
            <w:pPr>
              <w:spacing w:line="300" w:lineRule="exact"/>
              <w:jc w:val="left"/>
              <w:rPr>
                <w:rFonts w:ascii="方正书宋_GBK" w:eastAsia="方正书宋_GBK"/>
              </w:rPr>
            </w:pPr>
            <w:r>
              <w:rPr>
                <w:rFonts w:ascii="方正书宋_GBK" w:eastAsia="方正书宋_GBK"/>
              </w:rPr>
              <w:t>2022</w:t>
            </w:r>
            <w:r>
              <w:rPr>
                <w:rFonts w:hint="eastAsia" w:ascii="方正书宋_GBK" w:eastAsia="方正书宋_GBK"/>
              </w:rPr>
              <w:t>年</w:t>
            </w:r>
            <w:r>
              <w:rPr>
                <w:rFonts w:ascii="方正书宋_GBK" w:eastAsia="方正书宋_GBK"/>
              </w:rPr>
              <w:t>6</w:t>
            </w:r>
            <w:r>
              <w:rPr>
                <w:rFonts w:hint="eastAsia" w:ascii="方正书宋_GBK" w:eastAsia="方正书宋_GBK"/>
              </w:rPr>
              <w:t>月</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标准符合率</w:t>
            </w:r>
          </w:p>
        </w:tc>
        <w:tc>
          <w:tcPr>
            <w:tcW w:w="1276" w:type="dxa"/>
            <w:vAlign w:val="center"/>
          </w:tcPr>
          <w:p>
            <w:pPr>
              <w:spacing w:line="300" w:lineRule="exact"/>
              <w:jc w:val="left"/>
              <w:rPr>
                <w:rFonts w:ascii="方正书宋_GBK" w:eastAsia="方正书宋_GBK"/>
              </w:rPr>
            </w:pPr>
            <w:r>
              <w:rPr>
                <w:rFonts w:ascii="方正书宋_GBK" w:eastAsia="方正书宋_GBK"/>
              </w:rPr>
              <w:t>100100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农村饮水工程覆盖服务人口</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农村饮水工程覆盖服务人口</w:t>
            </w:r>
          </w:p>
        </w:tc>
        <w:tc>
          <w:tcPr>
            <w:tcW w:w="1276" w:type="dxa"/>
            <w:vAlign w:val="center"/>
          </w:tcPr>
          <w:p>
            <w:pPr>
              <w:spacing w:line="300" w:lineRule="exact"/>
              <w:jc w:val="left"/>
              <w:rPr>
                <w:rFonts w:ascii="方正书宋_GBK" w:eastAsia="方正书宋_GBK"/>
              </w:rPr>
            </w:pPr>
            <w:r>
              <w:rPr>
                <w:rFonts w:ascii="方正书宋_GBK" w:eastAsia="方正书宋_GBK"/>
              </w:rPr>
              <w:t>4.26</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9595</w:t>
            </w:r>
          </w:p>
        </w:tc>
        <w:tc>
          <w:tcPr>
            <w:tcW w:w="1701" w:type="dxa"/>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9" w:name="_Toc66866989"/>
      <w:r>
        <w:rPr>
          <w:rFonts w:ascii="方正仿宋_GBK" w:eastAsia="方正仿宋_GBK"/>
          <w:b/>
          <w:sz w:val="28"/>
        </w:rPr>
        <w:t>10.</w:t>
      </w:r>
      <w:r>
        <w:rPr>
          <w:rFonts w:hint="eastAsia" w:ascii="方正仿宋_GBK" w:eastAsia="方正仿宋_GBK"/>
          <w:b/>
          <w:sz w:val="28"/>
        </w:rPr>
        <w:t>提前下达</w:t>
      </w:r>
      <w:r>
        <w:rPr>
          <w:rFonts w:ascii="方正仿宋_GBK" w:eastAsia="方正仿宋_GBK"/>
          <w:b/>
          <w:sz w:val="28"/>
        </w:rPr>
        <w:t>2021</w:t>
      </w:r>
      <w:r>
        <w:rPr>
          <w:rFonts w:hint="eastAsia" w:ascii="方正仿宋_GBK" w:eastAsia="方正仿宋_GBK"/>
          <w:b/>
          <w:sz w:val="28"/>
        </w:rPr>
        <w:t>年度省级地下水超采综合治理专项资金</w:t>
      </w:r>
      <w:r>
        <w:rPr>
          <w:rFonts w:ascii="方正仿宋_GBK" w:eastAsia="方正仿宋_GBK"/>
          <w:b/>
          <w:sz w:val="28"/>
        </w:rPr>
        <w:t>(</w:t>
      </w:r>
      <w:r>
        <w:rPr>
          <w:rFonts w:hint="eastAsia" w:ascii="方正仿宋_GBK" w:eastAsia="方正仿宋_GBK"/>
          <w:b/>
          <w:sz w:val="28"/>
        </w:rPr>
        <w:t>冀财农</w:t>
      </w:r>
      <w:r>
        <w:rPr>
          <w:rFonts w:ascii="方正仿宋_GBK" w:eastAsia="方正仿宋_GBK"/>
          <w:b/>
          <w:sz w:val="28"/>
        </w:rPr>
        <w:t>[2020]156</w:t>
      </w:r>
      <w:r>
        <w:rPr>
          <w:rFonts w:hint="eastAsia" w:ascii="方正仿宋_GBK" w:eastAsia="方正仿宋_GBK"/>
          <w:b/>
          <w:sz w:val="28"/>
        </w:rPr>
        <w:t>号</w:t>
      </w:r>
      <w:r>
        <w:rPr>
          <w:rFonts w:ascii="方正仿宋_GBK" w:eastAsia="方正仿宋_GBK"/>
          <w:b/>
          <w:sz w:val="28"/>
        </w:rPr>
        <w:t>)</w:t>
      </w:r>
      <w:r>
        <w:rPr>
          <w:rFonts w:hint="eastAsia" w:ascii="方正仿宋_GBK" w:eastAsia="方正仿宋_GBK"/>
          <w:b/>
          <w:sz w:val="28"/>
        </w:rPr>
        <w:t>绩效目标表</w:t>
      </w:r>
      <w:bookmarkEnd w:id="9"/>
      <w:r>
        <w:rPr>
          <w:rFonts w:ascii="方正仿宋_GBK" w:eastAsia="方正仿宋_GBK"/>
          <w:b/>
          <w:sz w:val="28"/>
        </w:rPr>
        <w:fldChar w:fldCharType="begin"/>
      </w:r>
      <w:r>
        <w:rPr>
          <w:rFonts w:ascii="方正仿宋_GBK" w:eastAsia="方正仿宋_GBK"/>
          <w:b/>
          <w:sz w:val="28"/>
        </w:rPr>
        <w:instrText xml:space="preserve">tc "10</w:instrText>
      </w:r>
      <w:r>
        <w:rPr>
          <w:rFonts w:hint="eastAsia" w:ascii="方正仿宋_GBK" w:eastAsia="方正仿宋_GBK"/>
          <w:b/>
          <w:sz w:val="28"/>
        </w:rPr>
        <w:instrText xml:space="preserve">、提前下达</w:instrText>
      </w:r>
      <w:r>
        <w:rPr>
          <w:rFonts w:ascii="方正仿宋_GBK" w:eastAsia="方正仿宋_GBK"/>
          <w:b/>
          <w:sz w:val="28"/>
        </w:rPr>
        <w:instrText xml:space="preserve">2021</w:instrText>
      </w:r>
      <w:r>
        <w:rPr>
          <w:rFonts w:hint="eastAsia" w:ascii="方正仿宋_GBK" w:eastAsia="方正仿宋_GBK"/>
          <w:b/>
          <w:sz w:val="28"/>
        </w:rPr>
        <w:instrText xml:space="preserve">年度省级地下水超采综合治理专项资金</w:instrText>
      </w:r>
      <w:r>
        <w:rPr>
          <w:rFonts w:ascii="方正仿宋_GBK" w:eastAsia="方正仿宋_GBK"/>
          <w:b/>
          <w:sz w:val="28"/>
        </w:rPr>
        <w:instrText xml:space="preserve">(</w:instrText>
      </w:r>
      <w:r>
        <w:rPr>
          <w:rFonts w:hint="eastAsia" w:ascii="方正仿宋_GBK" w:eastAsia="方正仿宋_GBK"/>
          <w:b/>
          <w:sz w:val="28"/>
        </w:rPr>
        <w:instrText xml:space="preserve">冀财农</w:instrText>
      </w:r>
      <w:r>
        <w:rPr>
          <w:rFonts w:ascii="方正仿宋_GBK" w:eastAsia="方正仿宋_GBK"/>
          <w:b/>
          <w:sz w:val="28"/>
        </w:rPr>
        <w:instrText xml:space="preserve">[2020]156</w:instrText>
      </w:r>
      <w:r>
        <w:rPr>
          <w:rFonts w:hint="eastAsia" w:ascii="方正仿宋_GBK" w:eastAsia="方正仿宋_GBK"/>
          <w:b/>
          <w:sz w:val="28"/>
        </w:rPr>
        <w:instrText xml:space="preserve">号</w:instrText>
      </w:r>
      <w:r>
        <w:rPr>
          <w:rFonts w:ascii="方正仿宋_GBK" w:eastAsia="方正仿宋_GBK"/>
          <w:b/>
          <w:sz w:val="28"/>
        </w:rPr>
        <w:instrText xml:space="preserve">)</w:instrText>
      </w:r>
      <w:r>
        <w:rPr>
          <w:rFonts w:hint="eastAsia" w:ascii="方正仿宋_GBK" w:eastAsia="方正仿宋_GBK"/>
          <w:b/>
          <w:sz w:val="28"/>
        </w:rPr>
        <w:instrText xml:space="preserve">绩效目标表</w:instrText>
      </w:r>
      <w:r>
        <w:rPr>
          <w:rFonts w:ascii="方正仿宋_GBK" w:eastAsia="方正仿宋_GBK"/>
          <w:b/>
          <w:sz w:val="28"/>
        </w:rPr>
        <w:instrText xml:space="preserve">" \f C \l 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13012821UWRGX6Q3UH435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2021</w:t>
            </w:r>
            <w:r>
              <w:rPr>
                <w:rFonts w:hint="eastAsia" w:ascii="方正书宋_GBK" w:eastAsia="方正书宋_GBK"/>
              </w:rPr>
              <w:t>年度省级地下水超采综合治理专项资金</w:t>
            </w:r>
            <w:r>
              <w:rPr>
                <w:rFonts w:ascii="方正书宋_GBK" w:eastAsia="方正书宋_GBK"/>
              </w:rPr>
              <w:t>(</w:t>
            </w:r>
            <w:r>
              <w:rPr>
                <w:rFonts w:hint="eastAsia" w:ascii="方正书宋_GBK" w:eastAsia="方正书宋_GBK"/>
              </w:rPr>
              <w:t>冀财农</w:t>
            </w:r>
            <w:r>
              <w:rPr>
                <w:rFonts w:ascii="方正书宋_GBK" w:eastAsia="方正书宋_GBK"/>
              </w:rPr>
              <w:t>[2020]156</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资金用于地下水超采综合治理，减少地下水开采量，保护地下水资源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控制地下水开采量</w:t>
            </w:r>
          </w:p>
        </w:tc>
      </w:tr>
    </w:tbl>
    <w:p>
      <w:pPr>
        <w:spacing w:line="14" w:lineRule="exact"/>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完成项目数量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完成项目数量</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按总成本控制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按总成本控制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控制在预算内</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保护水资源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为地下水超采综合治理提供数据支撑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p>
        </w:tc>
      </w:tr>
    </w:tbl>
    <w:p>
      <w:pPr>
        <w:tabs>
          <w:tab w:val="left" w:pos="1348"/>
        </w:tabs>
        <w:jc w:val="left"/>
        <w:sectPr>
          <w:pgSz w:w="11906" w:h="16838"/>
          <w:pgMar w:top="1440" w:right="1800" w:bottom="1440" w:left="1800"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sz w:val="32"/>
          <w:szCs w:val="32"/>
        </w:rPr>
      </w:pPr>
      <w:r>
        <w:rPr>
          <w:rFonts w:hint="eastAsia" w:ascii="黑体" w:hAnsi="黑体" w:eastAsia="黑体"/>
          <w:sz w:val="32"/>
          <w:szCs w:val="32"/>
        </w:rPr>
        <w:t>五、政府采购预算情况</w:t>
      </w:r>
    </w:p>
    <w:p>
      <w:pPr>
        <w:ind w:firstLine="645"/>
        <w:outlineLvl w:val="0"/>
        <w:rPr>
          <w:rFonts w:ascii="仿宋" w:hAnsi="仿宋" w:eastAsia="仿宋"/>
          <w:sz w:val="32"/>
        </w:rPr>
      </w:pPr>
      <w:bookmarkStart w:id="10" w:name="_Toc471398468"/>
      <w:r>
        <w:rPr>
          <w:rFonts w:hint="eastAsia" w:ascii="仿宋" w:hAnsi="仿宋" w:eastAsia="仿宋"/>
          <w:sz w:val="32"/>
          <w:szCs w:val="32"/>
        </w:rPr>
        <w:t>认真贯彻</w:t>
      </w:r>
      <w:r>
        <w:rPr>
          <w:rFonts w:ascii="仿宋" w:hAnsi="仿宋" w:eastAsia="仿宋"/>
          <w:sz w:val="32"/>
          <w:szCs w:val="32"/>
        </w:rPr>
        <w:t>&lt;&lt;</w:t>
      </w:r>
      <w:r>
        <w:rPr>
          <w:rFonts w:hint="eastAsia" w:ascii="仿宋" w:hAnsi="仿宋" w:eastAsia="仿宋"/>
          <w:sz w:val="32"/>
          <w:szCs w:val="32"/>
        </w:rPr>
        <w:t>中华人民共和国政府采购法</w:t>
      </w:r>
      <w:r>
        <w:rPr>
          <w:rFonts w:ascii="仿宋" w:hAnsi="仿宋" w:eastAsia="仿宋"/>
          <w:sz w:val="32"/>
          <w:szCs w:val="32"/>
        </w:rPr>
        <w:t>&gt;&gt;</w:t>
      </w:r>
      <w:r>
        <w:rPr>
          <w:rFonts w:hint="eastAsia" w:ascii="仿宋" w:hAnsi="仿宋" w:eastAsia="仿宋"/>
          <w:sz w:val="32"/>
          <w:szCs w:val="32"/>
        </w:rPr>
        <w:t>和</w:t>
      </w:r>
      <w:r>
        <w:rPr>
          <w:rFonts w:ascii="仿宋" w:hAnsi="仿宋" w:eastAsia="仿宋"/>
          <w:sz w:val="32"/>
          <w:szCs w:val="32"/>
        </w:rPr>
        <w:t xml:space="preserve"> &lt;&lt;</w:t>
      </w:r>
      <w:r>
        <w:rPr>
          <w:rFonts w:hint="eastAsia" w:ascii="仿宋" w:hAnsi="仿宋" w:eastAsia="仿宋"/>
          <w:sz w:val="32"/>
          <w:szCs w:val="32"/>
        </w:rPr>
        <w:t>中华人民共和国招标投标法</w:t>
      </w:r>
      <w:r>
        <w:rPr>
          <w:rFonts w:ascii="仿宋" w:hAnsi="仿宋" w:eastAsia="仿宋"/>
          <w:sz w:val="32"/>
          <w:szCs w:val="32"/>
        </w:rPr>
        <w:t>&gt;&gt;</w:t>
      </w:r>
      <w:r>
        <w:rPr>
          <w:rFonts w:hint="eastAsia" w:ascii="仿宋" w:hAnsi="仿宋" w:eastAsia="仿宋"/>
          <w:sz w:val="32"/>
          <w:szCs w:val="32"/>
        </w:rPr>
        <w:t>等法律法规，</w:t>
      </w:r>
      <w:r>
        <w:rPr>
          <w:rFonts w:ascii="仿宋" w:hAnsi="仿宋" w:eastAsia="仿宋"/>
          <w:sz w:val="32"/>
        </w:rPr>
        <w:t>2021</w:t>
      </w:r>
      <w:r>
        <w:rPr>
          <w:rFonts w:hint="eastAsia" w:ascii="仿宋" w:hAnsi="仿宋" w:eastAsia="仿宋"/>
          <w:sz w:val="32"/>
        </w:rPr>
        <w:t>年我单位没有安排政府采购预算，政府采购预算金额为</w:t>
      </w:r>
      <w:r>
        <w:rPr>
          <w:rFonts w:ascii="仿宋" w:hAnsi="仿宋" w:eastAsia="仿宋"/>
          <w:sz w:val="32"/>
        </w:rPr>
        <w:t>0</w:t>
      </w:r>
      <w:r>
        <w:rPr>
          <w:rFonts w:hint="eastAsia" w:ascii="仿宋" w:hAnsi="仿宋" w:eastAsia="仿宋"/>
          <w:sz w:val="32"/>
        </w:rPr>
        <w:t>万元。</w:t>
      </w:r>
      <w:bookmarkEnd w:id="10"/>
    </w:p>
    <w:p>
      <w:pPr>
        <w:jc w:val="center"/>
        <w:outlineLvl w:val="0"/>
        <w:rPr>
          <w:rFonts w:ascii="仿宋_GB2312" w:hAnsi="黑体" w:eastAsia="仿宋_GB2312"/>
          <w:sz w:val="32"/>
          <w:szCs w:val="32"/>
        </w:rPr>
      </w:pPr>
      <w:r>
        <w:rPr>
          <w:rFonts w:hint="eastAsia" w:ascii="方正小标宋_GBK" w:eastAsia="方正小标宋_GBK"/>
          <w:sz w:val="32"/>
        </w:rPr>
        <w:t>政府采购预算情况表</w:t>
      </w:r>
    </w:p>
    <w:tbl>
      <w:tblPr>
        <w:tblStyle w:val="7"/>
        <w:tblW w:w="134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5"/>
        <w:gridCol w:w="800"/>
        <w:gridCol w:w="1095"/>
        <w:gridCol w:w="1155"/>
        <w:gridCol w:w="675"/>
        <w:gridCol w:w="649"/>
        <w:gridCol w:w="885"/>
        <w:gridCol w:w="855"/>
        <w:gridCol w:w="840"/>
        <w:gridCol w:w="1185"/>
        <w:gridCol w:w="1020"/>
        <w:gridCol w:w="990"/>
        <w:gridCol w:w="870"/>
        <w:gridCol w:w="8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844" w:type="dxa"/>
            <w:gridSpan w:val="7"/>
            <w:tcBorders>
              <w:top w:val="single" w:color="FFFFFF" w:sz="6" w:space="0"/>
              <w:left w:val="single" w:color="FFFFFF" w:sz="6" w:space="0"/>
              <w:right w:val="single" w:color="FFFFFF" w:sz="6" w:space="0"/>
            </w:tcBorders>
            <w:vAlign w:val="center"/>
          </w:tcPr>
          <w:p>
            <w:pPr>
              <w:spacing w:line="300" w:lineRule="exact"/>
              <w:jc w:val="center"/>
              <w:rPr>
                <w:rFonts w:ascii="方正书宋_GBK" w:eastAsia="方正书宋_GBK"/>
                <w:b/>
              </w:rPr>
            </w:pPr>
            <w:r>
              <w:rPr>
                <w:rFonts w:ascii="方正书宋_GBK" w:eastAsia="方正书宋_GBK"/>
                <w:b/>
              </w:rPr>
              <w:t>332001</w:t>
            </w:r>
            <w:r>
              <w:rPr>
                <w:rFonts w:hint="eastAsia" w:ascii="方正书宋_GBK" w:eastAsia="方正书宋_GBK"/>
                <w:b/>
              </w:rPr>
              <w:t>深泽县水利局本级</w:t>
            </w:r>
          </w:p>
        </w:tc>
        <w:tc>
          <w:tcPr>
            <w:tcW w:w="6585" w:type="dxa"/>
            <w:gridSpan w:val="7"/>
            <w:tcBorders>
              <w:top w:val="single" w:color="FFFFFF" w:sz="6" w:space="0"/>
              <w:left w:val="single" w:color="FFFFFF" w:sz="6" w:space="0"/>
              <w:right w:val="single" w:color="FFFFFF" w:sz="6" w:space="0"/>
            </w:tcBorders>
            <w:vAlign w:val="center"/>
          </w:tcPr>
          <w:p>
            <w:pPr>
              <w:spacing w:line="300" w:lineRule="exact"/>
              <w:jc w:val="center"/>
              <w:rPr>
                <w:rFonts w:ascii="方正书宋_GBK" w:eastAsia="方正书宋_GBK"/>
                <w:b/>
              </w:rPr>
            </w:pPr>
            <w:r>
              <w:rPr>
                <w:rFonts w:hint="eastAsia" w:ascii="方正书宋_GBK" w:eastAsia="方正书宋_GBK"/>
                <w:b/>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85"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09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55"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w:t>
            </w:r>
          </w:p>
        </w:tc>
        <w:tc>
          <w:tcPr>
            <w:tcW w:w="675"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649"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8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585"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00"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095" w:type="dxa"/>
            <w:vMerge w:val="continue"/>
            <w:vAlign w:val="center"/>
          </w:tcPr>
          <w:p>
            <w:pPr>
              <w:spacing w:line="300" w:lineRule="exact"/>
              <w:jc w:val="left"/>
              <w:outlineLvl w:val="0"/>
            </w:pPr>
          </w:p>
        </w:tc>
        <w:tc>
          <w:tcPr>
            <w:tcW w:w="1155" w:type="dxa"/>
            <w:vMerge w:val="continue"/>
            <w:vAlign w:val="center"/>
          </w:tcPr>
          <w:p>
            <w:pPr>
              <w:spacing w:line="300" w:lineRule="exact"/>
              <w:jc w:val="left"/>
              <w:outlineLvl w:val="0"/>
            </w:pPr>
          </w:p>
        </w:tc>
        <w:tc>
          <w:tcPr>
            <w:tcW w:w="675" w:type="dxa"/>
            <w:vMerge w:val="continue"/>
            <w:vAlign w:val="center"/>
          </w:tcPr>
          <w:p>
            <w:pPr>
              <w:spacing w:line="300" w:lineRule="exact"/>
              <w:jc w:val="left"/>
              <w:outlineLvl w:val="0"/>
            </w:pPr>
          </w:p>
        </w:tc>
        <w:tc>
          <w:tcPr>
            <w:tcW w:w="649" w:type="dxa"/>
            <w:vMerge w:val="continue"/>
            <w:vAlign w:val="center"/>
          </w:tcPr>
          <w:p>
            <w:pPr>
              <w:spacing w:line="300" w:lineRule="exact"/>
              <w:jc w:val="left"/>
              <w:outlineLvl w:val="0"/>
            </w:pPr>
          </w:p>
        </w:tc>
        <w:tc>
          <w:tcPr>
            <w:tcW w:w="885" w:type="dxa"/>
            <w:vMerge w:val="continue"/>
            <w:vAlign w:val="center"/>
          </w:tcPr>
          <w:p>
            <w:pPr>
              <w:spacing w:line="300" w:lineRule="exact"/>
              <w:jc w:val="left"/>
              <w:outlineLvl w:val="0"/>
            </w:pPr>
          </w:p>
        </w:tc>
        <w:tc>
          <w:tcPr>
            <w:tcW w:w="855"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905"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25"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continue"/>
            <w:vAlign w:val="center"/>
          </w:tcPr>
          <w:p>
            <w:pPr>
              <w:spacing w:line="300" w:lineRule="exact"/>
              <w:jc w:val="left"/>
              <w:outlineLvl w:val="0"/>
            </w:pPr>
          </w:p>
        </w:tc>
        <w:tc>
          <w:tcPr>
            <w:tcW w:w="800" w:type="dxa"/>
            <w:vMerge w:val="continue"/>
            <w:vAlign w:val="center"/>
          </w:tcPr>
          <w:p>
            <w:pPr>
              <w:spacing w:line="300" w:lineRule="exact"/>
              <w:jc w:val="left"/>
              <w:outlineLvl w:val="0"/>
            </w:pPr>
          </w:p>
        </w:tc>
        <w:tc>
          <w:tcPr>
            <w:tcW w:w="1095" w:type="dxa"/>
            <w:vMerge w:val="continue"/>
            <w:vAlign w:val="center"/>
          </w:tcPr>
          <w:p>
            <w:pPr>
              <w:spacing w:line="300" w:lineRule="exact"/>
              <w:jc w:val="left"/>
              <w:outlineLvl w:val="0"/>
            </w:pPr>
          </w:p>
        </w:tc>
        <w:tc>
          <w:tcPr>
            <w:tcW w:w="1155" w:type="dxa"/>
            <w:vMerge w:val="continue"/>
            <w:vAlign w:val="center"/>
          </w:tcPr>
          <w:p>
            <w:pPr>
              <w:spacing w:line="300" w:lineRule="exact"/>
              <w:jc w:val="left"/>
              <w:outlineLvl w:val="0"/>
            </w:pPr>
          </w:p>
        </w:tc>
        <w:tc>
          <w:tcPr>
            <w:tcW w:w="675" w:type="dxa"/>
            <w:vMerge w:val="continue"/>
            <w:vAlign w:val="center"/>
          </w:tcPr>
          <w:p>
            <w:pPr>
              <w:spacing w:line="300" w:lineRule="exact"/>
              <w:jc w:val="left"/>
              <w:outlineLvl w:val="0"/>
            </w:pPr>
          </w:p>
        </w:tc>
        <w:tc>
          <w:tcPr>
            <w:tcW w:w="649" w:type="dxa"/>
            <w:vMerge w:val="continue"/>
            <w:vAlign w:val="center"/>
          </w:tcPr>
          <w:p>
            <w:pPr>
              <w:spacing w:line="300" w:lineRule="exact"/>
              <w:jc w:val="left"/>
              <w:outlineLvl w:val="0"/>
            </w:pPr>
          </w:p>
        </w:tc>
        <w:tc>
          <w:tcPr>
            <w:tcW w:w="885" w:type="dxa"/>
            <w:vMerge w:val="continue"/>
            <w:vAlign w:val="center"/>
          </w:tcPr>
          <w:p>
            <w:pPr>
              <w:spacing w:line="300" w:lineRule="exact"/>
              <w:jc w:val="left"/>
              <w:outlineLvl w:val="0"/>
            </w:pPr>
          </w:p>
        </w:tc>
        <w:tc>
          <w:tcPr>
            <w:tcW w:w="855" w:type="dxa"/>
            <w:vMerge w:val="continue"/>
            <w:vAlign w:val="center"/>
          </w:tcPr>
          <w:p>
            <w:pPr>
              <w:spacing w:line="300" w:lineRule="exact"/>
              <w:jc w:val="left"/>
              <w:outlineLvl w:val="0"/>
            </w:pPr>
          </w:p>
        </w:tc>
        <w:tc>
          <w:tcPr>
            <w:tcW w:w="840"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8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020"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9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70"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25"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vAlign w:val="center"/>
          </w:tcPr>
          <w:p>
            <w:pPr>
              <w:spacing w:line="300" w:lineRule="exact"/>
              <w:jc w:val="center"/>
              <w:rPr>
                <w:rFonts w:ascii="方正书宋_GBK" w:eastAsia="方正书宋_GBK"/>
                <w:b/>
              </w:rPr>
            </w:pPr>
          </w:p>
        </w:tc>
        <w:tc>
          <w:tcPr>
            <w:tcW w:w="800" w:type="dxa"/>
            <w:vAlign w:val="center"/>
          </w:tcPr>
          <w:p>
            <w:pPr>
              <w:spacing w:line="300" w:lineRule="exact"/>
              <w:jc w:val="right"/>
              <w:rPr>
                <w:rFonts w:ascii="方正书宋_GBK" w:eastAsia="方正书宋_GBK"/>
                <w:b/>
              </w:rPr>
            </w:pPr>
          </w:p>
        </w:tc>
        <w:tc>
          <w:tcPr>
            <w:tcW w:w="1095" w:type="dxa"/>
            <w:vAlign w:val="center"/>
          </w:tcPr>
          <w:p>
            <w:pPr>
              <w:spacing w:line="300" w:lineRule="exact"/>
              <w:jc w:val="left"/>
              <w:rPr>
                <w:rFonts w:ascii="方正书宋_GBK" w:eastAsia="方正书宋_GBK"/>
                <w:b/>
              </w:rPr>
            </w:pPr>
          </w:p>
        </w:tc>
        <w:tc>
          <w:tcPr>
            <w:tcW w:w="1155" w:type="dxa"/>
            <w:vAlign w:val="center"/>
          </w:tcPr>
          <w:p>
            <w:pPr>
              <w:widowControl/>
              <w:jc w:val="left"/>
              <w:textAlignment w:val="center"/>
              <w:rPr>
                <w:rFonts w:ascii="方正书宋_GBK" w:eastAsia="方正书宋_GBK"/>
                <w:b/>
              </w:rPr>
            </w:pPr>
          </w:p>
        </w:tc>
        <w:tc>
          <w:tcPr>
            <w:tcW w:w="675" w:type="dxa"/>
            <w:vAlign w:val="center"/>
          </w:tcPr>
          <w:p>
            <w:pPr>
              <w:spacing w:line="300" w:lineRule="exact"/>
              <w:jc w:val="left"/>
              <w:rPr>
                <w:rFonts w:ascii="方正书宋_GBK" w:eastAsia="方正书宋_GBK"/>
                <w:b/>
              </w:rPr>
            </w:pPr>
          </w:p>
        </w:tc>
        <w:tc>
          <w:tcPr>
            <w:tcW w:w="649" w:type="dxa"/>
            <w:vAlign w:val="center"/>
          </w:tcPr>
          <w:p>
            <w:pPr>
              <w:spacing w:line="300" w:lineRule="exact"/>
              <w:jc w:val="right"/>
              <w:rPr>
                <w:rFonts w:ascii="方正书宋_GBK" w:eastAsia="方正书宋_GBK"/>
                <w:b/>
              </w:rPr>
            </w:pPr>
          </w:p>
        </w:tc>
        <w:tc>
          <w:tcPr>
            <w:tcW w:w="885" w:type="dxa"/>
            <w:vAlign w:val="center"/>
          </w:tcPr>
          <w:p>
            <w:pPr>
              <w:spacing w:line="300" w:lineRule="exact"/>
              <w:jc w:val="right"/>
              <w:rPr>
                <w:rFonts w:ascii="方正书宋_GBK" w:eastAsia="方正书宋_GBK"/>
                <w:b/>
              </w:rPr>
            </w:pPr>
          </w:p>
        </w:tc>
        <w:tc>
          <w:tcPr>
            <w:tcW w:w="855" w:type="dxa"/>
            <w:vAlign w:val="center"/>
          </w:tcPr>
          <w:p>
            <w:pPr>
              <w:spacing w:line="300" w:lineRule="exact"/>
              <w:jc w:val="right"/>
              <w:rPr>
                <w:rFonts w:ascii="方正书宋_GBK" w:eastAsia="方正书宋_GBK"/>
                <w:b/>
              </w:rPr>
            </w:pPr>
          </w:p>
        </w:tc>
        <w:tc>
          <w:tcPr>
            <w:tcW w:w="840" w:type="dxa"/>
            <w:vAlign w:val="center"/>
          </w:tcPr>
          <w:p>
            <w:pPr>
              <w:spacing w:line="300" w:lineRule="exact"/>
              <w:jc w:val="right"/>
              <w:rPr>
                <w:rFonts w:ascii="方正书宋_GBK" w:eastAsia="方正书宋_GBK"/>
                <w:b/>
              </w:rPr>
            </w:pPr>
          </w:p>
        </w:tc>
        <w:tc>
          <w:tcPr>
            <w:tcW w:w="1185" w:type="dxa"/>
            <w:vAlign w:val="center"/>
          </w:tcPr>
          <w:p>
            <w:pPr>
              <w:spacing w:line="300" w:lineRule="exact"/>
              <w:jc w:val="right"/>
              <w:rPr>
                <w:rFonts w:ascii="方正书宋_GBK" w:eastAsia="方正书宋_GBK"/>
                <w:b/>
              </w:rPr>
            </w:pPr>
          </w:p>
        </w:tc>
        <w:tc>
          <w:tcPr>
            <w:tcW w:w="1020" w:type="dxa"/>
            <w:vAlign w:val="center"/>
          </w:tcPr>
          <w:p>
            <w:pPr>
              <w:spacing w:line="300" w:lineRule="exact"/>
              <w:jc w:val="right"/>
              <w:rPr>
                <w:rFonts w:ascii="方正书宋_GBK" w:eastAsia="方正书宋_GBK"/>
                <w:b/>
              </w:rPr>
            </w:pPr>
          </w:p>
        </w:tc>
        <w:tc>
          <w:tcPr>
            <w:tcW w:w="990" w:type="dxa"/>
            <w:vAlign w:val="center"/>
          </w:tcPr>
          <w:p>
            <w:pPr>
              <w:spacing w:line="300" w:lineRule="exact"/>
              <w:jc w:val="right"/>
              <w:rPr>
                <w:rFonts w:ascii="方正书宋_GBK" w:eastAsia="方正书宋_GBK"/>
                <w:b/>
              </w:rPr>
            </w:pPr>
          </w:p>
        </w:tc>
        <w:tc>
          <w:tcPr>
            <w:tcW w:w="870" w:type="dxa"/>
            <w:vAlign w:val="center"/>
          </w:tcPr>
          <w:p>
            <w:pPr>
              <w:spacing w:line="300" w:lineRule="exact"/>
              <w:jc w:val="right"/>
              <w:rPr>
                <w:rFonts w:ascii="方正书宋_GBK" w:eastAsia="方正书宋_GBK"/>
                <w:b/>
              </w:rPr>
            </w:pPr>
          </w:p>
        </w:tc>
        <w:tc>
          <w:tcPr>
            <w:tcW w:w="825"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vAlign w:val="center"/>
          </w:tcPr>
          <w:p>
            <w:pPr>
              <w:spacing w:line="300" w:lineRule="exact"/>
              <w:jc w:val="left"/>
              <w:rPr>
                <w:rFonts w:ascii="方正书宋_GBK" w:eastAsia="方正书宋_GBK"/>
              </w:rPr>
            </w:pPr>
          </w:p>
        </w:tc>
        <w:tc>
          <w:tcPr>
            <w:tcW w:w="800" w:type="dxa"/>
            <w:vAlign w:val="center"/>
          </w:tcPr>
          <w:p>
            <w:pPr>
              <w:spacing w:line="300" w:lineRule="exact"/>
              <w:jc w:val="right"/>
              <w:rPr>
                <w:rFonts w:ascii="方正书宋_GBK" w:eastAsia="方正书宋_GBK"/>
              </w:rPr>
            </w:pPr>
          </w:p>
        </w:tc>
        <w:tc>
          <w:tcPr>
            <w:tcW w:w="1095" w:type="dxa"/>
            <w:vAlign w:val="center"/>
          </w:tcPr>
          <w:p>
            <w:pPr>
              <w:spacing w:line="300" w:lineRule="exact"/>
              <w:jc w:val="left"/>
              <w:rPr>
                <w:rFonts w:ascii="方正书宋_GBK" w:eastAsia="方正书宋_GBK"/>
              </w:rPr>
            </w:pPr>
          </w:p>
        </w:tc>
        <w:tc>
          <w:tcPr>
            <w:tcW w:w="1155" w:type="dxa"/>
            <w:vAlign w:val="center"/>
          </w:tcPr>
          <w:p>
            <w:pPr>
              <w:spacing w:line="300" w:lineRule="exact"/>
              <w:jc w:val="left"/>
              <w:rPr>
                <w:rFonts w:ascii="方正书宋_GBK" w:eastAsia="方正书宋_GBK"/>
              </w:rPr>
            </w:pPr>
          </w:p>
        </w:tc>
        <w:tc>
          <w:tcPr>
            <w:tcW w:w="675" w:type="dxa"/>
            <w:vAlign w:val="center"/>
          </w:tcPr>
          <w:p>
            <w:pPr>
              <w:spacing w:line="300" w:lineRule="exact"/>
              <w:jc w:val="left"/>
              <w:rPr>
                <w:rFonts w:ascii="方正书宋_GBK" w:eastAsia="方正书宋_GBK"/>
              </w:rPr>
            </w:pPr>
          </w:p>
        </w:tc>
        <w:tc>
          <w:tcPr>
            <w:tcW w:w="649" w:type="dxa"/>
            <w:vAlign w:val="center"/>
          </w:tcPr>
          <w:p>
            <w:pPr>
              <w:spacing w:line="300" w:lineRule="exact"/>
              <w:jc w:val="right"/>
              <w:rPr>
                <w:rFonts w:ascii="方正书宋_GBK" w:eastAsia="方正书宋_GBK"/>
              </w:rPr>
            </w:pPr>
          </w:p>
        </w:tc>
        <w:tc>
          <w:tcPr>
            <w:tcW w:w="885" w:type="dxa"/>
            <w:vAlign w:val="center"/>
          </w:tcPr>
          <w:p>
            <w:pPr>
              <w:spacing w:line="300" w:lineRule="exact"/>
              <w:jc w:val="right"/>
              <w:rPr>
                <w:rFonts w:ascii="方正书宋_GBK" w:eastAsia="方正书宋_GBK"/>
              </w:rPr>
            </w:pPr>
          </w:p>
        </w:tc>
        <w:tc>
          <w:tcPr>
            <w:tcW w:w="85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c>
          <w:tcPr>
            <w:tcW w:w="1185" w:type="dxa"/>
            <w:vAlign w:val="center"/>
          </w:tcPr>
          <w:p>
            <w:pPr>
              <w:spacing w:line="300" w:lineRule="exact"/>
              <w:jc w:val="right"/>
              <w:rPr>
                <w:rFonts w:ascii="方正书宋_GBK" w:eastAsia="方正书宋_GBK"/>
              </w:rPr>
            </w:pPr>
          </w:p>
        </w:tc>
        <w:tc>
          <w:tcPr>
            <w:tcW w:w="1020" w:type="dxa"/>
            <w:vAlign w:val="center"/>
          </w:tcPr>
          <w:p>
            <w:pPr>
              <w:spacing w:line="300" w:lineRule="exact"/>
              <w:jc w:val="right"/>
              <w:rPr>
                <w:rFonts w:ascii="方正书宋_GBK" w:eastAsia="方正书宋_GBK"/>
              </w:rPr>
            </w:pPr>
          </w:p>
        </w:tc>
        <w:tc>
          <w:tcPr>
            <w:tcW w:w="990" w:type="dxa"/>
            <w:vAlign w:val="center"/>
          </w:tcPr>
          <w:p>
            <w:pPr>
              <w:spacing w:line="300" w:lineRule="exact"/>
              <w:jc w:val="right"/>
              <w:rPr>
                <w:rFonts w:ascii="方正书宋_GBK" w:eastAsia="方正书宋_GBK"/>
              </w:rPr>
            </w:pPr>
          </w:p>
        </w:tc>
        <w:tc>
          <w:tcPr>
            <w:tcW w:w="870" w:type="dxa"/>
            <w:vAlign w:val="center"/>
          </w:tcPr>
          <w:p>
            <w:pPr>
              <w:spacing w:line="300" w:lineRule="exact"/>
              <w:jc w:val="right"/>
              <w:rPr>
                <w:rFonts w:ascii="方正书宋_GBK" w:eastAsia="方正书宋_GBK"/>
              </w:rPr>
            </w:pPr>
          </w:p>
        </w:tc>
        <w:tc>
          <w:tcPr>
            <w:tcW w:w="82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vAlign w:val="center"/>
          </w:tcPr>
          <w:p>
            <w:pPr>
              <w:spacing w:line="300" w:lineRule="exact"/>
              <w:jc w:val="left"/>
              <w:rPr>
                <w:rFonts w:ascii="方正书宋_GBK" w:eastAsia="方正书宋_GBK"/>
              </w:rPr>
            </w:pPr>
          </w:p>
        </w:tc>
        <w:tc>
          <w:tcPr>
            <w:tcW w:w="800" w:type="dxa"/>
            <w:vAlign w:val="center"/>
          </w:tcPr>
          <w:p>
            <w:pPr>
              <w:spacing w:line="300" w:lineRule="exact"/>
              <w:jc w:val="right"/>
              <w:rPr>
                <w:rFonts w:ascii="方正书宋_GBK" w:eastAsia="方正书宋_GBK"/>
              </w:rPr>
            </w:pPr>
          </w:p>
        </w:tc>
        <w:tc>
          <w:tcPr>
            <w:tcW w:w="1095" w:type="dxa"/>
            <w:vAlign w:val="center"/>
          </w:tcPr>
          <w:p>
            <w:pPr>
              <w:spacing w:line="300" w:lineRule="exact"/>
              <w:jc w:val="left"/>
              <w:rPr>
                <w:rFonts w:ascii="方正书宋_GBK" w:eastAsia="方正书宋_GBK"/>
              </w:rPr>
            </w:pPr>
          </w:p>
        </w:tc>
        <w:tc>
          <w:tcPr>
            <w:tcW w:w="1155" w:type="dxa"/>
            <w:vAlign w:val="center"/>
          </w:tcPr>
          <w:p>
            <w:pPr>
              <w:spacing w:line="300" w:lineRule="exact"/>
              <w:jc w:val="left"/>
              <w:rPr>
                <w:rFonts w:ascii="方正书宋_GBK" w:eastAsia="方正书宋_GBK"/>
              </w:rPr>
            </w:pPr>
          </w:p>
        </w:tc>
        <w:tc>
          <w:tcPr>
            <w:tcW w:w="675" w:type="dxa"/>
            <w:vAlign w:val="center"/>
          </w:tcPr>
          <w:p>
            <w:pPr>
              <w:spacing w:line="300" w:lineRule="exact"/>
              <w:jc w:val="left"/>
              <w:rPr>
                <w:rFonts w:ascii="方正书宋_GBK" w:eastAsia="方正书宋_GBK"/>
              </w:rPr>
            </w:pPr>
          </w:p>
        </w:tc>
        <w:tc>
          <w:tcPr>
            <w:tcW w:w="649" w:type="dxa"/>
            <w:vAlign w:val="center"/>
          </w:tcPr>
          <w:p>
            <w:pPr>
              <w:spacing w:line="300" w:lineRule="exact"/>
              <w:jc w:val="right"/>
              <w:rPr>
                <w:rFonts w:ascii="方正书宋_GBK" w:eastAsia="方正书宋_GBK"/>
              </w:rPr>
            </w:pPr>
          </w:p>
        </w:tc>
        <w:tc>
          <w:tcPr>
            <w:tcW w:w="885" w:type="dxa"/>
            <w:vAlign w:val="center"/>
          </w:tcPr>
          <w:p>
            <w:pPr>
              <w:spacing w:line="300" w:lineRule="exact"/>
              <w:jc w:val="right"/>
              <w:rPr>
                <w:rFonts w:ascii="方正书宋_GBK" w:eastAsia="方正书宋_GBK"/>
              </w:rPr>
            </w:pPr>
          </w:p>
        </w:tc>
        <w:tc>
          <w:tcPr>
            <w:tcW w:w="85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c>
          <w:tcPr>
            <w:tcW w:w="1185" w:type="dxa"/>
            <w:vAlign w:val="center"/>
          </w:tcPr>
          <w:p>
            <w:pPr>
              <w:spacing w:line="300" w:lineRule="exact"/>
              <w:jc w:val="right"/>
              <w:rPr>
                <w:rFonts w:ascii="方正书宋_GBK" w:eastAsia="方正书宋_GBK"/>
              </w:rPr>
            </w:pPr>
          </w:p>
        </w:tc>
        <w:tc>
          <w:tcPr>
            <w:tcW w:w="1020" w:type="dxa"/>
            <w:vAlign w:val="center"/>
          </w:tcPr>
          <w:p>
            <w:pPr>
              <w:spacing w:line="300" w:lineRule="exact"/>
              <w:jc w:val="right"/>
              <w:rPr>
                <w:rFonts w:ascii="方正书宋_GBK" w:eastAsia="方正书宋_GBK"/>
              </w:rPr>
            </w:pPr>
          </w:p>
        </w:tc>
        <w:tc>
          <w:tcPr>
            <w:tcW w:w="990" w:type="dxa"/>
            <w:vAlign w:val="center"/>
          </w:tcPr>
          <w:p>
            <w:pPr>
              <w:spacing w:line="300" w:lineRule="exact"/>
              <w:jc w:val="right"/>
              <w:rPr>
                <w:rFonts w:ascii="方正书宋_GBK" w:eastAsia="方正书宋_GBK"/>
              </w:rPr>
            </w:pPr>
          </w:p>
        </w:tc>
        <w:tc>
          <w:tcPr>
            <w:tcW w:w="870" w:type="dxa"/>
            <w:vAlign w:val="center"/>
          </w:tcPr>
          <w:p>
            <w:pPr>
              <w:spacing w:line="300" w:lineRule="exact"/>
              <w:jc w:val="right"/>
              <w:rPr>
                <w:rFonts w:ascii="方正书宋_GBK" w:eastAsia="方正书宋_GBK"/>
              </w:rPr>
            </w:pPr>
          </w:p>
        </w:tc>
        <w:tc>
          <w:tcPr>
            <w:tcW w:w="825" w:type="dxa"/>
            <w:vAlign w:val="center"/>
          </w:tcPr>
          <w:p>
            <w:pPr>
              <w:spacing w:line="300" w:lineRule="exact"/>
              <w:jc w:val="right"/>
              <w:rPr>
                <w:rFonts w:ascii="方正书宋_GBK" w:eastAsia="方正书宋_GBK"/>
              </w:rPr>
            </w:pPr>
          </w:p>
        </w:tc>
      </w:tr>
    </w:tbl>
    <w:p>
      <w:pPr>
        <w:ind w:firstLine="645"/>
        <w:outlineLvl w:val="0"/>
        <w:rPr>
          <w:rFonts w:ascii="仿宋" w:hAnsi="仿宋" w:eastAsia="仿宋"/>
          <w:color w:val="000000" w:themeColor="text1"/>
          <w:sz w:val="32"/>
          <w:szCs w:val="32"/>
        </w:rPr>
      </w:pPr>
      <w:r>
        <w:rPr>
          <w:rFonts w:hint="eastAsia" w:ascii="仿宋" w:hAnsi="仿宋" w:eastAsia="仿宋"/>
          <w:color w:val="000000" w:themeColor="text1"/>
          <w:sz w:val="32"/>
          <w:szCs w:val="32"/>
        </w:rPr>
        <w:t>注：</w:t>
      </w:r>
      <w:r>
        <w:rPr>
          <w:rFonts w:hint="eastAsia" w:ascii="仿宋" w:hAnsi="仿宋" w:eastAsia="仿宋" w:cs="仿宋"/>
          <w:color w:val="000000" w:themeColor="text1"/>
          <w:sz w:val="32"/>
          <w:szCs w:val="32"/>
        </w:rPr>
        <w:t>无政府采购预算，空表列示。</w:t>
      </w:r>
    </w:p>
    <w:p>
      <w:pPr>
        <w:ind w:firstLine="640" w:firstLineChars="200"/>
        <w:jc w:val="center"/>
        <w:outlineLvl w:val="0"/>
        <w:rPr>
          <w:rFonts w:ascii="方正小标宋_GBK" w:eastAsia="方正小标宋_GBK"/>
          <w:sz w:val="32"/>
        </w:rPr>
      </w:pPr>
    </w:p>
    <w:p>
      <w:pPr>
        <w:tabs>
          <w:tab w:val="left" w:pos="1348"/>
        </w:tabs>
        <w:jc w:val="left"/>
        <w:sectPr>
          <w:pgSz w:w="16838" w:h="11906" w:orient="landscape"/>
          <w:pgMar w:top="1800" w:right="1440" w:bottom="1800" w:left="1440" w:header="851" w:footer="992" w:gutter="0"/>
          <w:cols w:space="720" w:num="1"/>
          <w:docGrid w:type="lines" w:linePitch="312" w:charSpace="0"/>
        </w:sectPr>
      </w:pPr>
    </w:p>
    <w:p>
      <w:pPr>
        <w:ind w:firstLine="960" w:firstLineChars="300"/>
        <w:outlineLvl w:val="0"/>
        <w:rPr>
          <w:rFonts w:ascii="黑体" w:hAnsi="黑体" w:eastAsia="黑体"/>
          <w:sz w:val="32"/>
          <w:szCs w:val="32"/>
        </w:rPr>
      </w:pPr>
      <w:r>
        <w:rPr>
          <w:rFonts w:ascii="方正小标宋_GBK" w:eastAsia="方正小标宋_GBK"/>
          <w:sz w:val="32"/>
        </w:rPr>
        <w:fldChar w:fldCharType="begin"/>
      </w:r>
      <w:r>
        <w:rPr>
          <w:rFonts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ascii="方正小标宋_GBK" w:eastAsia="方正小标宋_GBK"/>
          <w:sz w:val="32"/>
        </w:rPr>
        <w:instrText xml:space="preserve">" \f A \l 0001</w:instrText>
      </w:r>
      <w:r>
        <w:rPr>
          <w:rFonts w:ascii="方正小标宋_GBK" w:eastAsia="方正小标宋_GBK"/>
          <w:sz w:val="32"/>
        </w:rPr>
        <w:fldChar w:fldCharType="end"/>
      </w:r>
      <w:r>
        <w:rPr>
          <w:rFonts w:hint="eastAsia" w:ascii="黑体" w:hAnsi="黑体" w:eastAsia="黑体"/>
          <w:sz w:val="32"/>
          <w:szCs w:val="32"/>
        </w:rPr>
        <w:t>六、国有资产信息</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深泽县水利局2020年末固定资产金额为 391.0601 万元（详见下表），本年拟购置0</w:t>
      </w:r>
      <w:r>
        <w:rPr>
          <w:rFonts w:hint="eastAsia" w:ascii="仿宋" w:hAnsi="仿宋" w:eastAsia="仿宋" w:cs="仿宋"/>
          <w:color w:val="000000" w:themeColor="text1"/>
          <w:spacing w:val="1"/>
          <w:sz w:val="32"/>
          <w:szCs w:val="32"/>
        </w:rPr>
        <w:t xml:space="preserve"> </w:t>
      </w:r>
      <w:r>
        <w:rPr>
          <w:rFonts w:hint="eastAsia" w:ascii="仿宋" w:hAnsi="仿宋" w:eastAsia="仿宋" w:cs="仿宋"/>
          <w:color w:val="000000" w:themeColor="text1"/>
          <w:sz w:val="32"/>
          <w:szCs w:val="32"/>
        </w:rPr>
        <w:t>万元。</w:t>
      </w:r>
    </w:p>
    <w:tbl>
      <w:tblPr>
        <w:tblStyle w:val="7"/>
        <w:tblW w:w="10201" w:type="dxa"/>
        <w:tblInd w:w="93" w:type="dxa"/>
        <w:tblLayout w:type="fixed"/>
        <w:tblCellMar>
          <w:top w:w="0" w:type="dxa"/>
          <w:left w:w="108" w:type="dxa"/>
          <w:bottom w:w="0" w:type="dxa"/>
          <w:right w:w="108" w:type="dxa"/>
        </w:tblCellMar>
      </w:tblPr>
      <w:tblGrid>
        <w:gridCol w:w="3953"/>
        <w:gridCol w:w="2387"/>
        <w:gridCol w:w="3861"/>
      </w:tblGrid>
      <w:tr>
        <w:tblPrEx>
          <w:tblCellMar>
            <w:top w:w="0" w:type="dxa"/>
            <w:left w:w="108" w:type="dxa"/>
            <w:bottom w:w="0" w:type="dxa"/>
            <w:right w:w="108" w:type="dxa"/>
          </w:tblCellMar>
        </w:tblPrEx>
        <w:trPr>
          <w:trHeight w:val="705" w:hRule="atLeast"/>
        </w:trPr>
        <w:tc>
          <w:tcPr>
            <w:tcW w:w="10201" w:type="dxa"/>
            <w:gridSpan w:val="3"/>
            <w:tcBorders>
              <w:top w:val="nil"/>
              <w:left w:val="nil"/>
              <w:bottom w:val="nil"/>
              <w:right w:val="nil"/>
            </w:tcBorders>
            <w:vAlign w:val="center"/>
          </w:tcPr>
          <w:p>
            <w:pPr>
              <w:widowControl/>
              <w:rPr>
                <w:rFonts w:ascii="宋体" w:cs="宋体"/>
                <w:b/>
                <w:bCs/>
                <w:kern w:val="0"/>
                <w:sz w:val="32"/>
                <w:szCs w:val="32"/>
              </w:rPr>
            </w:pPr>
            <w:r>
              <w:rPr>
                <w:rFonts w:ascii="宋体" w:hAnsi="宋体" w:cs="宋体"/>
                <w:b/>
                <w:bCs/>
                <w:kern w:val="0"/>
                <w:sz w:val="32"/>
                <w:szCs w:val="32"/>
              </w:rPr>
              <w:t xml:space="preserve">               </w:t>
            </w:r>
            <w:r>
              <w:rPr>
                <w:rFonts w:hint="eastAsia" w:ascii="宋体" w:hAnsi="宋体" w:cs="宋体"/>
                <w:b/>
                <w:bCs/>
                <w:kern w:val="0"/>
                <w:sz w:val="32"/>
                <w:szCs w:val="32"/>
              </w:rPr>
              <w:t>深泽县水利局</w:t>
            </w:r>
            <w:r>
              <w:rPr>
                <w:rFonts w:hint="eastAsia" w:ascii="宋体" w:hAnsi="宋体" w:cs="宋体"/>
                <w:b/>
                <w:bCs/>
                <w:kern w:val="0"/>
                <w:sz w:val="32"/>
                <w:szCs w:val="32"/>
                <w:lang w:eastAsia="zh-CN"/>
              </w:rPr>
              <w:t>本级</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6340" w:type="dxa"/>
            <w:gridSpan w:val="2"/>
            <w:tcBorders>
              <w:top w:val="nil"/>
              <w:left w:val="nil"/>
              <w:bottom w:val="nil"/>
              <w:right w:val="nil"/>
            </w:tcBorders>
            <w:vAlign w:val="center"/>
          </w:tcPr>
          <w:p>
            <w:pPr>
              <w:widowControl/>
              <w:jc w:val="left"/>
              <w:rPr>
                <w:rFonts w:eastAsia="仿宋"/>
                <w:kern w:val="0"/>
                <w:sz w:val="22"/>
              </w:rPr>
            </w:pPr>
            <w:r>
              <w:rPr>
                <w:rFonts w:hint="eastAsia" w:eastAsia="仿宋"/>
                <w:kern w:val="0"/>
                <w:sz w:val="22"/>
              </w:rPr>
              <w:t>深泽县水利局本级</w:t>
            </w:r>
          </w:p>
        </w:tc>
        <w:tc>
          <w:tcPr>
            <w:tcW w:w="3861" w:type="dxa"/>
            <w:tcBorders>
              <w:top w:val="nil"/>
              <w:left w:val="nil"/>
              <w:bottom w:val="nil"/>
              <w:right w:val="nil"/>
            </w:tcBorders>
            <w:vAlign w:val="center"/>
          </w:tcPr>
          <w:p>
            <w:pPr>
              <w:widowControl/>
              <w:jc w:val="left"/>
              <w:rPr>
                <w:rFonts w:eastAsia="仿宋"/>
                <w:kern w:val="0"/>
                <w:sz w:val="22"/>
              </w:rPr>
            </w:pPr>
            <w:r>
              <w:rPr>
                <w:rFonts w:hint="eastAsia" w:eastAsia="仿宋"/>
                <w:kern w:val="0"/>
                <w:sz w:val="22"/>
              </w:rPr>
              <w:t>截止时间：</w:t>
            </w:r>
            <w:r>
              <w:rPr>
                <w:rFonts w:eastAsia="仿宋"/>
                <w:kern w:val="0"/>
                <w:sz w:val="22"/>
              </w:rPr>
              <w:t>2020</w:t>
            </w:r>
            <w:r>
              <w:rPr>
                <w:rFonts w:hint="eastAsia" w:eastAsia="仿宋"/>
                <w:kern w:val="0"/>
                <w:sz w:val="22"/>
              </w:rPr>
              <w:t>年</w:t>
            </w:r>
            <w:r>
              <w:rPr>
                <w:rFonts w:eastAsia="仿宋"/>
                <w:kern w:val="0"/>
                <w:sz w:val="22"/>
              </w:rPr>
              <w:t>12</w:t>
            </w:r>
            <w:r>
              <w:rPr>
                <w:rFonts w:hint="eastAsia" w:eastAsia="仿宋"/>
                <w:kern w:val="0"/>
                <w:sz w:val="22"/>
              </w:rPr>
              <w:t>月</w:t>
            </w:r>
            <w:r>
              <w:rPr>
                <w:rFonts w:eastAsia="仿宋"/>
                <w:kern w:val="0"/>
                <w:sz w:val="22"/>
              </w:rPr>
              <w:t>31</w:t>
            </w:r>
            <w:r>
              <w:rPr>
                <w:rFonts w:hint="eastAsia" w:eastAsia="仿宋"/>
                <w:kern w:val="0"/>
                <w:sz w:val="22"/>
              </w:rPr>
              <w:t>日</w:t>
            </w:r>
          </w:p>
        </w:tc>
      </w:tr>
      <w:tr>
        <w:tblPrEx>
          <w:tblCellMar>
            <w:top w:w="0" w:type="dxa"/>
            <w:left w:w="108" w:type="dxa"/>
            <w:bottom w:w="0" w:type="dxa"/>
            <w:right w:w="108" w:type="dxa"/>
          </w:tblCellMar>
        </w:tblPrEx>
        <w:trPr>
          <w:trHeight w:val="645" w:hRule="atLeast"/>
        </w:trPr>
        <w:tc>
          <w:tcPr>
            <w:tcW w:w="395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2387"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3861"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953" w:type="dxa"/>
            <w:tcBorders>
              <w:top w:val="nil"/>
              <w:left w:val="single" w:color="auto" w:sz="4" w:space="0"/>
              <w:bottom w:val="single" w:color="auto" w:sz="4" w:space="0"/>
              <w:right w:val="single" w:color="auto" w:sz="4" w:space="0"/>
            </w:tcBorders>
            <w:vAlign w:val="center"/>
          </w:tcPr>
          <w:p>
            <w:pPr>
              <w:widowControl/>
              <w:jc w:val="center"/>
              <w:rPr>
                <w:rFonts w:eastAsia="仿宋"/>
                <w:color w:val="FF0000"/>
                <w:kern w:val="0"/>
                <w:sz w:val="22"/>
              </w:rPr>
            </w:pPr>
            <w:r>
              <w:rPr>
                <w:rFonts w:hint="eastAsia" w:eastAsia="仿宋"/>
                <w:color w:val="000000" w:themeColor="text1"/>
                <w:kern w:val="0"/>
                <w:sz w:val="22"/>
              </w:rPr>
              <w:t>资产总额</w:t>
            </w:r>
          </w:p>
        </w:tc>
        <w:tc>
          <w:tcPr>
            <w:tcW w:w="2387" w:type="dxa"/>
            <w:tcBorders>
              <w:top w:val="nil"/>
              <w:left w:val="nil"/>
              <w:bottom w:val="single" w:color="auto" w:sz="4" w:space="0"/>
              <w:right w:val="single" w:color="auto" w:sz="4" w:space="0"/>
            </w:tcBorders>
            <w:vAlign w:val="center"/>
          </w:tcPr>
          <w:p>
            <w:pPr>
              <w:widowControl/>
              <w:rPr>
                <w:rFonts w:eastAsia="仿宋"/>
                <w:color w:val="FF0000"/>
                <w:kern w:val="0"/>
                <w:sz w:val="22"/>
              </w:rPr>
            </w:pPr>
          </w:p>
        </w:tc>
        <w:tc>
          <w:tcPr>
            <w:tcW w:w="3861" w:type="dxa"/>
            <w:tcBorders>
              <w:top w:val="nil"/>
              <w:left w:val="nil"/>
              <w:bottom w:val="single" w:color="auto" w:sz="4" w:space="0"/>
              <w:right w:val="single" w:color="auto" w:sz="4" w:space="0"/>
            </w:tcBorders>
            <w:vAlign w:val="center"/>
          </w:tcPr>
          <w:p>
            <w:pPr>
              <w:widowControl/>
              <w:jc w:val="center"/>
              <w:rPr>
                <w:rFonts w:eastAsia="仿宋"/>
                <w:color w:val="FF0000"/>
                <w:kern w:val="0"/>
                <w:sz w:val="22"/>
              </w:rPr>
            </w:pPr>
            <w:r>
              <w:rPr>
                <w:rFonts w:hint="eastAsia" w:ascii="仿宋" w:hAnsi="仿宋" w:eastAsia="仿宋" w:cs="仿宋"/>
              </w:rPr>
              <w:t>391.0601</w:t>
            </w:r>
          </w:p>
        </w:tc>
      </w:tr>
      <w:tr>
        <w:tblPrEx>
          <w:tblCellMar>
            <w:top w:w="0" w:type="dxa"/>
            <w:left w:w="108" w:type="dxa"/>
            <w:bottom w:w="0" w:type="dxa"/>
            <w:right w:w="108" w:type="dxa"/>
          </w:tblCellMar>
        </w:tblPrEx>
        <w:trPr>
          <w:trHeight w:val="645" w:hRule="atLeast"/>
        </w:trPr>
        <w:tc>
          <w:tcPr>
            <w:tcW w:w="3953" w:type="dxa"/>
            <w:tcBorders>
              <w:top w:val="nil"/>
              <w:left w:val="single" w:color="auto" w:sz="4" w:space="0"/>
              <w:bottom w:val="single" w:color="auto" w:sz="4" w:space="0"/>
              <w:right w:val="single" w:color="auto" w:sz="4" w:space="0"/>
            </w:tcBorders>
            <w:vAlign w:val="center"/>
          </w:tcPr>
          <w:p>
            <w:pPr>
              <w:widowControl/>
              <w:jc w:val="left"/>
              <w:rPr>
                <w:rFonts w:eastAsia="仿宋"/>
                <w:kern w:val="0"/>
                <w:sz w:val="22"/>
              </w:rPr>
            </w:pPr>
            <w:r>
              <w:rPr>
                <w:rFonts w:eastAsia="仿宋"/>
                <w:kern w:val="0"/>
                <w:sz w:val="22"/>
              </w:rPr>
              <w:t>1</w:t>
            </w:r>
            <w:r>
              <w:rPr>
                <w:rFonts w:hint="eastAsia" w:eastAsia="仿宋"/>
                <w:kern w:val="0"/>
                <w:sz w:val="22"/>
              </w:rPr>
              <w:t>、房屋（平方米）</w:t>
            </w:r>
          </w:p>
        </w:tc>
        <w:tc>
          <w:tcPr>
            <w:tcW w:w="2387"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2488</w:t>
            </w:r>
          </w:p>
        </w:tc>
        <w:tc>
          <w:tcPr>
            <w:tcW w:w="3861"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80.73</w:t>
            </w:r>
          </w:p>
        </w:tc>
      </w:tr>
      <w:tr>
        <w:tblPrEx>
          <w:tblCellMar>
            <w:top w:w="0" w:type="dxa"/>
            <w:left w:w="108" w:type="dxa"/>
            <w:bottom w:w="0" w:type="dxa"/>
            <w:right w:w="108" w:type="dxa"/>
          </w:tblCellMar>
        </w:tblPrEx>
        <w:trPr>
          <w:trHeight w:val="645" w:hRule="atLeast"/>
        </w:trPr>
        <w:tc>
          <w:tcPr>
            <w:tcW w:w="3953" w:type="dxa"/>
            <w:tcBorders>
              <w:top w:val="nil"/>
              <w:left w:val="single" w:color="auto" w:sz="4" w:space="0"/>
              <w:bottom w:val="single" w:color="auto" w:sz="4" w:space="0"/>
              <w:right w:val="single" w:color="auto" w:sz="4" w:space="0"/>
            </w:tcBorders>
            <w:vAlign w:val="center"/>
          </w:tcPr>
          <w:p>
            <w:pPr>
              <w:widowControl/>
              <w:jc w:val="left"/>
              <w:rPr>
                <w:rFonts w:eastAsia="仿宋"/>
                <w:kern w:val="0"/>
                <w:sz w:val="22"/>
              </w:rPr>
            </w:pPr>
            <w:r>
              <w:rPr>
                <w:rFonts w:hint="eastAsia" w:eastAsia="仿宋"/>
                <w:kern w:val="0"/>
                <w:sz w:val="22"/>
              </w:rPr>
              <w:t>其中：办公用房（平方米）</w:t>
            </w:r>
          </w:p>
        </w:tc>
        <w:tc>
          <w:tcPr>
            <w:tcW w:w="2387"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2488</w:t>
            </w:r>
          </w:p>
        </w:tc>
        <w:tc>
          <w:tcPr>
            <w:tcW w:w="3861"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80.73</w:t>
            </w:r>
          </w:p>
        </w:tc>
      </w:tr>
      <w:tr>
        <w:tblPrEx>
          <w:tblCellMar>
            <w:top w:w="0" w:type="dxa"/>
            <w:left w:w="108" w:type="dxa"/>
            <w:bottom w:w="0" w:type="dxa"/>
            <w:right w:w="108" w:type="dxa"/>
          </w:tblCellMar>
        </w:tblPrEx>
        <w:trPr>
          <w:trHeight w:val="645" w:hRule="atLeast"/>
        </w:trPr>
        <w:tc>
          <w:tcPr>
            <w:tcW w:w="3953" w:type="dxa"/>
            <w:tcBorders>
              <w:top w:val="nil"/>
              <w:left w:val="single" w:color="auto" w:sz="4" w:space="0"/>
              <w:bottom w:val="single" w:color="auto" w:sz="4" w:space="0"/>
              <w:right w:val="single" w:color="auto" w:sz="4" w:space="0"/>
            </w:tcBorders>
            <w:vAlign w:val="center"/>
          </w:tcPr>
          <w:p>
            <w:pPr>
              <w:widowControl/>
              <w:jc w:val="left"/>
              <w:rPr>
                <w:rFonts w:eastAsia="仿宋"/>
                <w:kern w:val="0"/>
                <w:sz w:val="22"/>
              </w:rPr>
            </w:pPr>
            <w:r>
              <w:rPr>
                <w:rFonts w:eastAsia="仿宋"/>
                <w:kern w:val="0"/>
                <w:sz w:val="22"/>
              </w:rPr>
              <w:t>2</w:t>
            </w:r>
            <w:r>
              <w:rPr>
                <w:rFonts w:hint="eastAsia" w:eastAsia="仿宋"/>
                <w:kern w:val="0"/>
                <w:sz w:val="22"/>
              </w:rPr>
              <w:t>、专用设备</w:t>
            </w:r>
          </w:p>
        </w:tc>
        <w:tc>
          <w:tcPr>
            <w:tcW w:w="2387" w:type="dxa"/>
            <w:tcBorders>
              <w:top w:val="nil"/>
              <w:left w:val="nil"/>
              <w:bottom w:val="single" w:color="auto" w:sz="4" w:space="0"/>
              <w:right w:val="single" w:color="auto" w:sz="4" w:space="0"/>
            </w:tcBorders>
            <w:vAlign w:val="center"/>
          </w:tcPr>
          <w:p>
            <w:pPr>
              <w:widowControl/>
              <w:rPr>
                <w:rFonts w:eastAsia="仿宋"/>
                <w:kern w:val="0"/>
                <w:sz w:val="22"/>
              </w:rPr>
            </w:pPr>
          </w:p>
        </w:tc>
        <w:tc>
          <w:tcPr>
            <w:tcW w:w="3861"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85.4232</w:t>
            </w:r>
          </w:p>
        </w:tc>
      </w:tr>
      <w:tr>
        <w:tblPrEx>
          <w:tblCellMar>
            <w:top w:w="0" w:type="dxa"/>
            <w:left w:w="108" w:type="dxa"/>
            <w:bottom w:w="0" w:type="dxa"/>
            <w:right w:w="108" w:type="dxa"/>
          </w:tblCellMar>
        </w:tblPrEx>
        <w:trPr>
          <w:trHeight w:val="645" w:hRule="atLeast"/>
        </w:trPr>
        <w:tc>
          <w:tcPr>
            <w:tcW w:w="3953" w:type="dxa"/>
            <w:tcBorders>
              <w:top w:val="nil"/>
              <w:left w:val="single" w:color="auto" w:sz="4" w:space="0"/>
              <w:bottom w:val="single" w:color="auto" w:sz="4" w:space="0"/>
              <w:right w:val="single" w:color="auto" w:sz="4" w:space="0"/>
            </w:tcBorders>
            <w:vAlign w:val="center"/>
          </w:tcPr>
          <w:p>
            <w:pPr>
              <w:widowControl/>
              <w:jc w:val="left"/>
              <w:rPr>
                <w:rFonts w:eastAsia="仿宋"/>
                <w:kern w:val="0"/>
                <w:sz w:val="22"/>
              </w:rPr>
            </w:pPr>
            <w:r>
              <w:rPr>
                <w:rFonts w:eastAsia="仿宋"/>
                <w:kern w:val="0"/>
                <w:sz w:val="22"/>
              </w:rPr>
              <w:t>3</w:t>
            </w:r>
            <w:r>
              <w:rPr>
                <w:rFonts w:hint="eastAsia" w:eastAsia="仿宋"/>
                <w:kern w:val="0"/>
                <w:sz w:val="22"/>
              </w:rPr>
              <w:t>、通用设备</w:t>
            </w:r>
          </w:p>
        </w:tc>
        <w:tc>
          <w:tcPr>
            <w:tcW w:w="2387"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w:t>
            </w:r>
          </w:p>
        </w:tc>
        <w:tc>
          <w:tcPr>
            <w:tcW w:w="3861"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211.7876</w:t>
            </w:r>
          </w:p>
        </w:tc>
      </w:tr>
      <w:tr>
        <w:tblPrEx>
          <w:tblCellMar>
            <w:top w:w="0" w:type="dxa"/>
            <w:left w:w="108" w:type="dxa"/>
            <w:bottom w:w="0" w:type="dxa"/>
            <w:right w:w="108" w:type="dxa"/>
          </w:tblCellMar>
        </w:tblPrEx>
        <w:trPr>
          <w:trHeight w:val="645" w:hRule="atLeast"/>
        </w:trPr>
        <w:tc>
          <w:tcPr>
            <w:tcW w:w="3953" w:type="dxa"/>
            <w:tcBorders>
              <w:top w:val="nil"/>
              <w:left w:val="single" w:color="auto" w:sz="4" w:space="0"/>
              <w:bottom w:val="single" w:color="auto" w:sz="4" w:space="0"/>
              <w:right w:val="single" w:color="auto" w:sz="4" w:space="0"/>
            </w:tcBorders>
            <w:vAlign w:val="center"/>
          </w:tcPr>
          <w:p>
            <w:pPr>
              <w:widowControl/>
              <w:jc w:val="left"/>
              <w:rPr>
                <w:rFonts w:eastAsia="仿宋"/>
                <w:kern w:val="0"/>
                <w:sz w:val="22"/>
              </w:rPr>
            </w:pPr>
            <w:r>
              <w:rPr>
                <w:rFonts w:eastAsia="仿宋"/>
                <w:kern w:val="0"/>
                <w:sz w:val="22"/>
              </w:rPr>
              <w:t>4</w:t>
            </w:r>
            <w:r>
              <w:rPr>
                <w:rFonts w:hint="eastAsia" w:eastAsia="仿宋"/>
                <w:kern w:val="0"/>
                <w:sz w:val="22"/>
              </w:rPr>
              <w:t>、家具用具</w:t>
            </w:r>
          </w:p>
        </w:tc>
        <w:tc>
          <w:tcPr>
            <w:tcW w:w="2387"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w:t>
            </w:r>
          </w:p>
        </w:tc>
        <w:tc>
          <w:tcPr>
            <w:tcW w:w="3861" w:type="dxa"/>
            <w:tcBorders>
              <w:top w:val="nil"/>
              <w:left w:val="nil"/>
              <w:bottom w:val="single" w:color="auto" w:sz="4" w:space="0"/>
              <w:right w:val="single" w:color="auto" w:sz="4" w:space="0"/>
            </w:tcBorders>
            <w:vAlign w:val="center"/>
          </w:tcPr>
          <w:p>
            <w:pPr>
              <w:widowControl/>
              <w:jc w:val="center"/>
              <w:rPr>
                <w:rFonts w:eastAsia="仿宋"/>
                <w:kern w:val="0"/>
                <w:sz w:val="22"/>
              </w:rPr>
            </w:pPr>
            <w:r>
              <w:rPr>
                <w:rFonts w:eastAsia="仿宋"/>
                <w:kern w:val="0"/>
                <w:sz w:val="22"/>
              </w:rPr>
              <w:t>13.1193</w:t>
            </w:r>
          </w:p>
        </w:tc>
      </w:tr>
    </w:tbl>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七、名词解释</w:t>
      </w:r>
    </w:p>
    <w:p>
      <w:pPr>
        <w:ind w:firstLine="640" w:firstLineChars="200"/>
        <w:rPr>
          <w:rFonts w:eastAsia="仿宋"/>
          <w:sz w:val="32"/>
          <w:szCs w:val="32"/>
        </w:rPr>
      </w:pPr>
      <w:r>
        <w:rPr>
          <w:rFonts w:eastAsia="仿宋"/>
          <w:sz w:val="32"/>
          <w:szCs w:val="32"/>
        </w:rPr>
        <w:t>1</w:t>
      </w:r>
      <w:r>
        <w:rPr>
          <w:rFonts w:hint="eastAsia" w:eastAsia="仿宋"/>
          <w:sz w:val="32"/>
          <w:szCs w:val="32"/>
        </w:rPr>
        <w:t>、一般公共预算拨款收入：指财政当年拨付的资金。</w:t>
      </w:r>
    </w:p>
    <w:p>
      <w:pPr>
        <w:ind w:firstLine="640" w:firstLineChars="200"/>
        <w:rPr>
          <w:rFonts w:eastAsia="仿宋"/>
          <w:sz w:val="32"/>
          <w:szCs w:val="32"/>
        </w:rPr>
      </w:pPr>
      <w:r>
        <w:rPr>
          <w:rFonts w:eastAsia="仿宋"/>
          <w:sz w:val="32"/>
          <w:szCs w:val="32"/>
        </w:rPr>
        <w:t>2</w:t>
      </w:r>
      <w:r>
        <w:rPr>
          <w:rFonts w:hint="eastAsia" w:eastAsia="仿宋"/>
          <w:sz w:val="32"/>
          <w:szCs w:val="32"/>
        </w:rPr>
        <w:t>、事业收入：指事业单位开展专业业务活动及辅助活动所取得的收入。</w:t>
      </w:r>
    </w:p>
    <w:p>
      <w:pPr>
        <w:ind w:firstLine="640" w:firstLineChars="200"/>
        <w:rPr>
          <w:rFonts w:eastAsia="仿宋"/>
          <w:sz w:val="32"/>
          <w:szCs w:val="32"/>
        </w:rPr>
      </w:pPr>
      <w:r>
        <w:rPr>
          <w:rFonts w:eastAsia="仿宋"/>
          <w:sz w:val="32"/>
          <w:szCs w:val="32"/>
        </w:rPr>
        <w:t>3</w:t>
      </w:r>
      <w:r>
        <w:rPr>
          <w:rFonts w:hint="eastAsia" w:eastAsia="仿宋"/>
          <w:sz w:val="32"/>
          <w:szCs w:val="32"/>
        </w:rPr>
        <w:t>、其他收入：指除“一般公共预算拨款收入”、“事业收入”等以外的收入。主要是按规定动用的租房收入、存款利息收入等。</w:t>
      </w:r>
    </w:p>
    <w:p>
      <w:pPr>
        <w:ind w:firstLine="640" w:firstLineChars="200"/>
        <w:rPr>
          <w:rFonts w:eastAsia="仿宋"/>
          <w:sz w:val="32"/>
          <w:szCs w:val="32"/>
        </w:rPr>
      </w:pPr>
      <w:r>
        <w:rPr>
          <w:rFonts w:eastAsia="仿宋"/>
          <w:sz w:val="32"/>
          <w:szCs w:val="32"/>
        </w:rPr>
        <w:t>4</w:t>
      </w:r>
      <w:r>
        <w:rPr>
          <w:rFonts w:hint="eastAsia" w:eastAsia="仿宋"/>
          <w:sz w:val="32"/>
          <w:szCs w:val="32"/>
        </w:rPr>
        <w:t>、基本支出：指为保障机构正常运转、完成日常工作任务而发生的人员支出和公用支出。</w:t>
      </w:r>
    </w:p>
    <w:p>
      <w:pPr>
        <w:ind w:firstLine="640" w:firstLineChars="200"/>
        <w:rPr>
          <w:rFonts w:eastAsia="仿宋"/>
          <w:sz w:val="32"/>
          <w:szCs w:val="32"/>
        </w:rPr>
      </w:pPr>
      <w:r>
        <w:rPr>
          <w:rFonts w:eastAsia="仿宋"/>
          <w:sz w:val="32"/>
          <w:szCs w:val="32"/>
        </w:rPr>
        <w:t>5</w:t>
      </w:r>
      <w:r>
        <w:rPr>
          <w:rFonts w:hint="eastAsia" w:eastAsia="仿宋"/>
          <w:sz w:val="32"/>
          <w:szCs w:val="32"/>
        </w:rPr>
        <w:t>、项目支出：指在基本支出之外为完成特定行政任务和事业发展目标所发生的支出。</w:t>
      </w:r>
    </w:p>
    <w:p>
      <w:pPr>
        <w:ind w:firstLine="640" w:firstLineChars="200"/>
        <w:rPr>
          <w:rFonts w:eastAsia="仿宋"/>
          <w:sz w:val="32"/>
          <w:szCs w:val="32"/>
        </w:rPr>
      </w:pPr>
      <w:r>
        <w:rPr>
          <w:rFonts w:eastAsia="仿宋"/>
          <w:sz w:val="32"/>
          <w:szCs w:val="32"/>
        </w:rPr>
        <w:t>6</w:t>
      </w:r>
      <w:r>
        <w:rPr>
          <w:rFonts w:hint="eastAsia" w:eastAsia="仿宋"/>
          <w:sz w:val="32"/>
          <w:szCs w:val="32"/>
        </w:rPr>
        <w:t>、上缴上级支出：指下级单位上缴上级的支出。</w:t>
      </w:r>
    </w:p>
    <w:p>
      <w:pPr>
        <w:ind w:firstLine="640" w:firstLineChars="200"/>
        <w:rPr>
          <w:rFonts w:eastAsia="仿宋"/>
          <w:sz w:val="32"/>
          <w:szCs w:val="32"/>
        </w:rPr>
      </w:pPr>
      <w:r>
        <w:rPr>
          <w:rFonts w:eastAsia="仿宋"/>
          <w:sz w:val="32"/>
          <w:szCs w:val="32"/>
        </w:rPr>
        <w:t>7</w:t>
      </w:r>
      <w:r>
        <w:rPr>
          <w:rFonts w:hint="eastAsia" w:eastAsia="仿宋"/>
          <w:sz w:val="32"/>
          <w:szCs w:val="32"/>
        </w:rPr>
        <w:t>、“三公”经费：纳入财政预算管理的“三公”经费，是指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eastAsia="仿宋"/>
          <w:sz w:val="32"/>
          <w:szCs w:val="32"/>
        </w:rPr>
      </w:pPr>
      <w:r>
        <w:rPr>
          <w:rFonts w:eastAsia="仿宋"/>
          <w:sz w:val="32"/>
          <w:szCs w:val="32"/>
        </w:rPr>
        <w:t>8</w:t>
      </w:r>
      <w:r>
        <w:rPr>
          <w:rFonts w:hint="eastAsia" w:eastAsia="仿宋"/>
          <w:sz w:val="32"/>
          <w:szCs w:val="32"/>
        </w:rPr>
        <w:t>、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eastAsia="仿宋"/>
          <w:sz w:val="32"/>
          <w:szCs w:val="32"/>
        </w:rPr>
      </w:pPr>
      <w:r>
        <w:rPr>
          <w:rFonts w:eastAsia="仿宋"/>
          <w:sz w:val="32"/>
          <w:szCs w:val="32"/>
        </w:rPr>
        <w:t>9</w:t>
      </w:r>
      <w:r>
        <w:rPr>
          <w:rFonts w:hint="eastAsia" w:eastAsia="仿宋"/>
          <w:sz w:val="32"/>
          <w:szCs w:val="32"/>
        </w:rPr>
        <w:t>、上年结转：指以前年度尚未完成、结转到本年仍按原规定用途继续使用的资金。</w:t>
      </w:r>
    </w:p>
    <w:p>
      <w:pPr>
        <w:ind w:firstLine="640" w:firstLineChars="200"/>
        <w:rPr>
          <w:rFonts w:eastAsia="仿宋"/>
          <w:sz w:val="32"/>
          <w:szCs w:val="32"/>
        </w:rPr>
      </w:pPr>
      <w:r>
        <w:rPr>
          <w:rFonts w:eastAsia="仿宋"/>
          <w:sz w:val="32"/>
          <w:szCs w:val="32"/>
        </w:rPr>
        <w:t>10</w:t>
      </w:r>
      <w:r>
        <w:rPr>
          <w:rFonts w:hint="eastAsia" w:eastAsia="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pStyle w:val="4"/>
        <w:spacing w:before="88"/>
        <w:ind w:left="758"/>
        <w:jc w:val="left"/>
        <w:rPr>
          <w:rFonts w:ascii="仿宋" w:hAnsi="仿宋" w:eastAsia="仿宋" w:cs="仿宋"/>
        </w:rPr>
      </w:pPr>
      <w:r>
        <w:rPr>
          <w:rFonts w:hint="eastAsia" w:ascii="仿宋" w:hAnsi="仿宋" w:eastAsia="仿宋" w:cs="仿宋"/>
          <w:color w:val="000000" w:themeColor="text1"/>
        </w:rPr>
        <w:t>我</w:t>
      </w:r>
      <w:r>
        <w:rPr>
          <w:rFonts w:hint="eastAsia" w:ascii="仿宋" w:hAnsi="仿宋" w:eastAsia="仿宋" w:cs="仿宋"/>
          <w:color w:val="000000" w:themeColor="text1"/>
          <w:lang w:eastAsia="zh-CN"/>
        </w:rPr>
        <w:t>单位无</w:t>
      </w:r>
      <w:bookmarkStart w:id="12" w:name="_GoBack"/>
      <w:bookmarkEnd w:id="12"/>
      <w:r>
        <w:rPr>
          <w:rFonts w:hint="eastAsia" w:ascii="仿宋" w:hAnsi="仿宋" w:eastAsia="仿宋" w:cs="仿宋"/>
          <w:color w:val="000000" w:themeColor="text1"/>
        </w:rPr>
        <w:t>国有资本经营预算，特此说明</w:t>
      </w:r>
      <w:r>
        <w:rPr>
          <w:rFonts w:hint="eastAsia" w:ascii="仿宋" w:hAnsi="仿宋" w:eastAsia="仿宋" w:cs="仿宋"/>
        </w:rPr>
        <w:t>。</w:t>
      </w:r>
    </w:p>
    <w:p>
      <w:pPr>
        <w:rPr>
          <w:rFonts w:ascii="Adobe 黑体 Std R" w:hAnsi="Adobe 黑体 Std R" w:eastAsia="Adobe 黑体 Std R" w:cs="Adobe 黑体 Std R"/>
          <w:sz w:val="20"/>
          <w:szCs w:val="20"/>
        </w:rPr>
      </w:pPr>
    </w:p>
    <w:p>
      <w:pPr>
        <w:ind w:firstLine="640" w:firstLineChars="200"/>
        <w:rPr>
          <w:rFonts w:eastAsia="仿宋"/>
          <w:sz w:val="32"/>
          <w:szCs w:val="32"/>
        </w:rPr>
      </w:pPr>
    </w:p>
    <w:p>
      <w:pPr>
        <w:tabs>
          <w:tab w:val="left" w:pos="1348"/>
        </w:tabs>
        <w:jc w:val="left"/>
      </w:pP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Noto Sans S Chinese Black">
    <w:altName w:val="Yu Gothic"/>
    <w:panose1 w:val="00000000000000000000"/>
    <w:charset w:val="80"/>
    <w:family w:val="swiss"/>
    <w:pitch w:val="default"/>
    <w:sig w:usb0="00000000" w:usb1="00000000" w:usb2="00000000" w:usb3="00000000" w:csb0="00000000" w:csb1="00000000"/>
  </w:font>
  <w:font w:name="Yu Gothic">
    <w:panose1 w:val="020B0400000000000000"/>
    <w:charset w:val="80"/>
    <w:family w:val="auto"/>
    <w:pitch w:val="default"/>
    <w:sig w:usb0="E00002FF" w:usb1="2AC7FDFF" w:usb2="00000016" w:usb3="00000000" w:csb0="2002009F" w:csb1="00000000"/>
  </w:font>
  <w:font w:name="Adobe 黑体 Std R">
    <w:altName w:val="黑体"/>
    <w:panose1 w:val="00000000000000000000"/>
    <w:charset w:val="80"/>
    <w:family w:val="swiss"/>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宋体-方正超大字符集">
    <w:altName w:val="宋体"/>
    <w:panose1 w:val="00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27</w:t>
    </w:r>
    <w:r>
      <w:rPr>
        <w:rStyle w:val="14"/>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9A8F38"/>
    <w:multiLevelType w:val="singleLevel"/>
    <w:tmpl w:val="589A8F38"/>
    <w:lvl w:ilvl="0" w:tentative="0">
      <w:start w:val="1"/>
      <w:numFmt w:val="decimal"/>
      <w:suff w:val="nothing"/>
      <w:lvlText w:val="%1、"/>
      <w:lvlJc w:val="left"/>
    </w:lvl>
  </w:abstractNum>
  <w:abstractNum w:abstractNumId="1">
    <w:nsid w:val="589A9132"/>
    <w:multiLevelType w:val="singleLevel"/>
    <w:tmpl w:val="589A913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E5MTNiNjI1NzAxMjM3MGNjM2M1ZjRiMjMwOWI4MTAifQ=="/>
  </w:docVars>
  <w:rsids>
    <w:rsidRoot w:val="00A5774A"/>
    <w:rsid w:val="00136145"/>
    <w:rsid w:val="001A6347"/>
    <w:rsid w:val="002209B4"/>
    <w:rsid w:val="00325D38"/>
    <w:rsid w:val="004164A3"/>
    <w:rsid w:val="00607C73"/>
    <w:rsid w:val="00740D67"/>
    <w:rsid w:val="00A5774A"/>
    <w:rsid w:val="00B16374"/>
    <w:rsid w:val="00D94858"/>
    <w:rsid w:val="00DC71EA"/>
    <w:rsid w:val="00EF3186"/>
    <w:rsid w:val="01BC5CF8"/>
    <w:rsid w:val="06CA3D16"/>
    <w:rsid w:val="08164FE9"/>
    <w:rsid w:val="0D7C0425"/>
    <w:rsid w:val="0E1B5B48"/>
    <w:rsid w:val="0F13313E"/>
    <w:rsid w:val="0FC401D6"/>
    <w:rsid w:val="118044CE"/>
    <w:rsid w:val="1D7E1F86"/>
    <w:rsid w:val="26BD333F"/>
    <w:rsid w:val="270C6A93"/>
    <w:rsid w:val="282056EF"/>
    <w:rsid w:val="28804457"/>
    <w:rsid w:val="2C781961"/>
    <w:rsid w:val="332B01BF"/>
    <w:rsid w:val="38E64A44"/>
    <w:rsid w:val="39991606"/>
    <w:rsid w:val="3A5A5063"/>
    <w:rsid w:val="3DC76298"/>
    <w:rsid w:val="404A7158"/>
    <w:rsid w:val="410D0237"/>
    <w:rsid w:val="42EB6ABB"/>
    <w:rsid w:val="4422328E"/>
    <w:rsid w:val="4DEA66DD"/>
    <w:rsid w:val="50B56A98"/>
    <w:rsid w:val="531B3BC1"/>
    <w:rsid w:val="5745139E"/>
    <w:rsid w:val="593C5C34"/>
    <w:rsid w:val="5A0814C7"/>
    <w:rsid w:val="61AD701A"/>
    <w:rsid w:val="6680355E"/>
    <w:rsid w:val="675D119C"/>
    <w:rsid w:val="6770060D"/>
    <w:rsid w:val="6A3D1B20"/>
    <w:rsid w:val="6B0C51DE"/>
    <w:rsid w:val="6BAC4CA8"/>
    <w:rsid w:val="6E2C52B4"/>
    <w:rsid w:val="6E305B71"/>
    <w:rsid w:val="6EF81E9E"/>
    <w:rsid w:val="70E53504"/>
    <w:rsid w:val="72BC301B"/>
    <w:rsid w:val="72CB72FD"/>
    <w:rsid w:val="74263C23"/>
    <w:rsid w:val="759163F7"/>
    <w:rsid w:val="799B3420"/>
    <w:rsid w:val="79D41467"/>
    <w:rsid w:val="7E117AA3"/>
    <w:rsid w:val="7E360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1"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1"/>
    <w:pPr>
      <w:outlineLvl w:val="1"/>
    </w:pPr>
    <w:rPr>
      <w:rFonts w:ascii="Noto Sans S Chinese Black" w:hAnsi="Noto Sans S Chinese Black" w:eastAsia="Noto Sans S Chinese Black"/>
      <w:b/>
      <w:bCs/>
      <w:sz w:val="43"/>
      <w:szCs w:val="43"/>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qFormat/>
    <w:uiPriority w:val="1"/>
    <w:pPr>
      <w:ind w:left="1026"/>
    </w:pPr>
    <w:rPr>
      <w:rFonts w:ascii="Adobe 黑体 Std R" w:hAnsi="Adobe 黑体 Std R" w:eastAsia="Adobe 黑体 Std R"/>
      <w:sz w:val="32"/>
      <w:szCs w:val="32"/>
    </w:rPr>
  </w:style>
  <w:style w:type="paragraph" w:styleId="5">
    <w:name w:val="footer"/>
    <w:basedOn w:val="1"/>
    <w:link w:val="10"/>
    <w:unhideWhenUsed/>
    <w:qFormat/>
    <w:uiPriority w:val="99"/>
    <w:pPr>
      <w:tabs>
        <w:tab w:val="center" w:pos="4153"/>
        <w:tab w:val="right" w:pos="8306"/>
      </w:tabs>
      <w:snapToGrid w:val="0"/>
      <w:jc w:val="left"/>
    </w:pPr>
    <w:rPr>
      <w:sz w:val="18"/>
      <w:szCs w:val="18"/>
    </w:rPr>
  </w:style>
  <w:style w:type="paragraph" w:styleId="6">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字符"/>
    <w:basedOn w:val="8"/>
    <w:link w:val="6"/>
    <w:semiHidden/>
    <w:qFormat/>
    <w:uiPriority w:val="99"/>
    <w:rPr>
      <w:rFonts w:ascii="Times New Roman" w:hAnsi="Times New Roman" w:eastAsia="宋体" w:cs="Times New Roman"/>
      <w:sz w:val="18"/>
      <w:szCs w:val="18"/>
    </w:rPr>
  </w:style>
  <w:style w:type="character" w:customStyle="1" w:styleId="10">
    <w:name w:val="页脚 字符"/>
    <w:basedOn w:val="8"/>
    <w:link w:val="5"/>
    <w:semiHidden/>
    <w:qFormat/>
    <w:uiPriority w:val="99"/>
    <w:rPr>
      <w:rFonts w:ascii="Times New Roman" w:hAnsi="Times New Roman" w:eastAsia="宋体" w:cs="Times New Roman"/>
      <w:sz w:val="18"/>
      <w:szCs w:val="18"/>
    </w:rPr>
  </w:style>
  <w:style w:type="character" w:customStyle="1" w:styleId="11">
    <w:name w:val="font41"/>
    <w:basedOn w:val="8"/>
    <w:qFormat/>
    <w:uiPriority w:val="0"/>
    <w:rPr>
      <w:rFonts w:hint="default" w:ascii="Tahoma" w:hAnsi="Tahoma" w:eastAsia="Tahoma" w:cs="Tahoma"/>
      <w:color w:val="000000"/>
      <w:sz w:val="22"/>
      <w:szCs w:val="22"/>
      <w:u w:val="none"/>
    </w:rPr>
  </w:style>
  <w:style w:type="character" w:customStyle="1" w:styleId="12">
    <w:name w:val="font11"/>
    <w:basedOn w:val="8"/>
    <w:qFormat/>
    <w:uiPriority w:val="0"/>
    <w:rPr>
      <w:rFonts w:hint="eastAsia" w:ascii="宋体" w:hAnsi="宋体" w:eastAsia="宋体" w:cs="宋体"/>
      <w:color w:val="000000"/>
      <w:sz w:val="22"/>
      <w:szCs w:val="22"/>
      <w:u w:val="none"/>
    </w:rPr>
  </w:style>
  <w:style w:type="paragraph" w:customStyle="1" w:styleId="13">
    <w:name w:val="[Normal]"/>
    <w:qFormat/>
    <w:uiPriority w:val="99"/>
    <w:pPr>
      <w:widowControl w:val="0"/>
      <w:autoSpaceDE w:val="0"/>
      <w:autoSpaceDN w:val="0"/>
      <w:adjustRightInd w:val="0"/>
    </w:pPr>
    <w:rPr>
      <w:rFonts w:ascii="宋体" w:hAnsi="Times New Roman" w:eastAsia="宋体" w:cs="宋体"/>
      <w:sz w:val="24"/>
      <w:szCs w:val="24"/>
      <w:lang w:val="en-US" w:eastAsia="zh-CN" w:bidi="ar-SA"/>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27</Pages>
  <Words>8543</Words>
  <Characters>11250</Characters>
  <Lines>110</Lines>
  <Paragraphs>31</Paragraphs>
  <TotalTime>16</TotalTime>
  <ScaleCrop>false</ScaleCrop>
  <LinksUpToDate>false</LinksUpToDate>
  <CharactersWithSpaces>11394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2019-01-15T00:49:00Z</dcterms:created>
  <dc:creator>user</dc:creator>
  <cp:lastModifiedBy>康顺轻</cp:lastModifiedBy>
  <dcterms:modified xsi:type="dcterms:W3CDTF">2022-09-16T08:57:18Z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9C594E0D3741409EAEFE3E8583C44675</vt:lpwstr>
  </property>
</Properties>
</file>