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中国共产党深泽县纪律检查委员会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九</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hint="eastAsia" w:ascii="黑体" w:eastAsia="黑体" w:cs="黑体"/>
          <w:b w:val="0"/>
          <w:bCs w:val="0"/>
          <w:kern w:val="0"/>
          <w:sz w:val="32"/>
          <w:szCs w:val="32"/>
        </w:rPr>
      </w:pPr>
      <w:r>
        <w:rPr>
          <w:rFonts w:hint="eastAsia" w:ascii="黑体" w:eastAsia="黑体" w:cs="黑体"/>
          <w:b w:val="0"/>
          <w:bCs w:val="0"/>
          <w:kern w:val="0"/>
          <w:sz w:val="32"/>
          <w:szCs w:val="32"/>
        </w:rPr>
        <w:t>部门职责</w:t>
      </w:r>
    </w:p>
    <w:p>
      <w:pPr>
        <w:spacing w:after="0" w:line="560" w:lineRule="exact"/>
        <w:ind w:firstLine="640" w:firstLineChars="200"/>
        <w:rPr>
          <w:rFonts w:hint="eastAsia" w:ascii="仿宋" w:hAnsi="仿宋" w:eastAsia="仿宋" w:cs="仿宋"/>
          <w:kern w:val="0"/>
          <w:sz w:val="32"/>
          <w:szCs w:val="32"/>
        </w:rPr>
      </w:pPr>
      <w:r>
        <w:rPr>
          <w:rFonts w:hint="eastAsia" w:ascii="仿宋" w:hAnsi="仿宋" w:eastAsia="仿宋" w:cs="仿宋"/>
          <w:kern w:val="0"/>
          <w:sz w:val="32"/>
          <w:szCs w:val="32"/>
        </w:rPr>
        <w:t>201</w:t>
      </w:r>
      <w:r>
        <w:rPr>
          <w:rFonts w:hint="eastAsia" w:ascii="仿宋" w:hAnsi="仿宋" w:eastAsia="仿宋" w:cs="仿宋"/>
          <w:kern w:val="0"/>
          <w:sz w:val="32"/>
          <w:szCs w:val="32"/>
          <w:lang w:val="en-US" w:eastAsia="zh-CN"/>
        </w:rPr>
        <w:t>9</w:t>
      </w:r>
      <w:r>
        <w:rPr>
          <w:rFonts w:hint="eastAsia" w:ascii="仿宋" w:hAnsi="仿宋" w:eastAsia="仿宋" w:cs="仿宋"/>
          <w:kern w:val="0"/>
          <w:sz w:val="32"/>
          <w:szCs w:val="32"/>
        </w:rPr>
        <w:t>年，全面贯彻党的</w:t>
      </w:r>
      <w:r>
        <w:rPr>
          <w:rFonts w:hint="eastAsia" w:ascii="仿宋" w:hAnsi="仿宋" w:eastAsia="仿宋" w:cs="仿宋"/>
          <w:kern w:val="0"/>
          <w:sz w:val="32"/>
          <w:szCs w:val="32"/>
          <w:lang w:eastAsia="zh-CN"/>
        </w:rPr>
        <w:t>十九</w:t>
      </w:r>
      <w:r>
        <w:rPr>
          <w:rFonts w:hint="eastAsia" w:ascii="仿宋" w:hAnsi="仿宋" w:eastAsia="仿宋" w:cs="仿宋"/>
          <w:kern w:val="0"/>
          <w:sz w:val="32"/>
          <w:szCs w:val="32"/>
          <w:lang w:val="en-US" w:eastAsia="zh-CN"/>
        </w:rPr>
        <w:t>大</w:t>
      </w:r>
      <w:r>
        <w:rPr>
          <w:rFonts w:hint="eastAsia" w:ascii="仿宋" w:hAnsi="仿宋" w:eastAsia="仿宋" w:cs="仿宋"/>
          <w:kern w:val="0"/>
          <w:sz w:val="32"/>
          <w:szCs w:val="32"/>
          <w:lang w:eastAsia="zh-CN"/>
        </w:rPr>
        <w:t>精神</w:t>
      </w:r>
      <w:r>
        <w:rPr>
          <w:rFonts w:hint="eastAsia" w:ascii="仿宋" w:hAnsi="仿宋" w:eastAsia="仿宋" w:cs="仿宋"/>
          <w:kern w:val="0"/>
          <w:sz w:val="32"/>
          <w:szCs w:val="32"/>
        </w:rPr>
        <w:t>和习近平总书记系列重要讲话精神，县纪委监</w:t>
      </w:r>
      <w:r>
        <w:rPr>
          <w:rFonts w:hint="eastAsia" w:ascii="仿宋" w:hAnsi="仿宋" w:eastAsia="仿宋" w:cs="仿宋"/>
          <w:kern w:val="0"/>
          <w:sz w:val="32"/>
          <w:szCs w:val="32"/>
          <w:lang w:eastAsia="zh-CN"/>
        </w:rPr>
        <w:t>委</w:t>
      </w:r>
      <w:r>
        <w:rPr>
          <w:rFonts w:hint="eastAsia" w:ascii="仿宋" w:hAnsi="仿宋" w:eastAsia="仿宋" w:cs="仿宋"/>
          <w:kern w:val="0"/>
          <w:sz w:val="32"/>
          <w:szCs w:val="32"/>
        </w:rPr>
        <w:t>在县委县政府和市纪委监</w:t>
      </w:r>
      <w:r>
        <w:rPr>
          <w:rFonts w:hint="eastAsia" w:ascii="仿宋" w:hAnsi="仿宋" w:eastAsia="仿宋" w:cs="仿宋"/>
          <w:kern w:val="0"/>
          <w:sz w:val="32"/>
          <w:szCs w:val="32"/>
          <w:lang w:eastAsia="zh-CN"/>
        </w:rPr>
        <w:t>委</w:t>
      </w:r>
      <w:r>
        <w:rPr>
          <w:rFonts w:hint="eastAsia" w:ascii="仿宋" w:hAnsi="仿宋" w:eastAsia="仿宋" w:cs="仿宋"/>
          <w:kern w:val="0"/>
          <w:sz w:val="32"/>
          <w:szCs w:val="32"/>
        </w:rPr>
        <w:t>的领导下，紧紧围绕年初纪委全会目标任务，突出主责主业，积极推动纪检</w:t>
      </w:r>
      <w:r>
        <w:rPr>
          <w:rFonts w:hint="eastAsia" w:ascii="仿宋" w:hAnsi="仿宋" w:eastAsia="仿宋" w:cs="仿宋"/>
          <w:kern w:val="0"/>
          <w:sz w:val="32"/>
          <w:szCs w:val="32"/>
          <w:lang w:eastAsia="zh-CN"/>
        </w:rPr>
        <w:t>监察</w:t>
      </w:r>
      <w:r>
        <w:rPr>
          <w:rFonts w:hint="eastAsia" w:ascii="仿宋" w:hAnsi="仿宋" w:eastAsia="仿宋" w:cs="仿宋"/>
          <w:kern w:val="0"/>
          <w:sz w:val="32"/>
          <w:szCs w:val="32"/>
        </w:rPr>
        <w:t>体制改革，深化“三转”工作，从严监督执纪问责，扎实推进党风廉政建设和反腐败各项工作。</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rPr>
        <w:t>（一）</w:t>
      </w:r>
      <w:r>
        <w:rPr>
          <w:rFonts w:hint="eastAsia" w:ascii="仿宋" w:hAnsi="仿宋" w:eastAsia="仿宋" w:cs="仿宋"/>
          <w:kern w:val="0"/>
          <w:sz w:val="32"/>
          <w:szCs w:val="32"/>
          <w:lang w:val="en-US" w:eastAsia="zh-CN"/>
        </w:rPr>
        <w:t>严肃党内政治生活，加强党内监督，严明换届纪律；</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（二）</w:t>
      </w:r>
      <w:r>
        <w:rPr>
          <w:rFonts w:hint="eastAsia" w:ascii="仿宋" w:hAnsi="仿宋" w:eastAsia="仿宋" w:cs="仿宋"/>
          <w:kern w:val="0"/>
          <w:sz w:val="32"/>
          <w:szCs w:val="32"/>
          <w:lang w:val="en-US" w:eastAsia="zh-CN"/>
        </w:rPr>
        <w:t>坚守责任担当，严格问责追究，倒逼全面从严治党主体责任落实到位</w:t>
      </w:r>
      <w:r>
        <w:rPr>
          <w:rFonts w:hint="eastAsia" w:ascii="仿宋" w:hAnsi="仿宋" w:eastAsia="仿宋" w:cs="仿宋"/>
          <w:kern w:val="0"/>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（三）坚持从严执纪、从严问责，</w:t>
      </w:r>
      <w:r>
        <w:rPr>
          <w:rFonts w:hint="eastAsia" w:ascii="仿宋" w:hAnsi="仿宋" w:eastAsia="仿宋" w:cs="仿宋"/>
          <w:kern w:val="0"/>
          <w:sz w:val="32"/>
          <w:szCs w:val="32"/>
          <w:lang w:val="en-US" w:eastAsia="zh-CN"/>
        </w:rPr>
        <w:t>驰</w:t>
      </w:r>
      <w:r>
        <w:rPr>
          <w:rFonts w:hint="eastAsia" w:ascii="仿宋" w:hAnsi="仿宋" w:eastAsia="仿宋" w:cs="仿宋"/>
          <w:kern w:val="0"/>
          <w:sz w:val="32"/>
          <w:szCs w:val="32"/>
        </w:rPr>
        <w:t>而不息纠正“四风”；</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（四）以宣传教育为先导，干部廉洁自律意识不断增强；</w:t>
      </w:r>
      <w:bookmarkStart w:id="0" w:name="_GoBack"/>
      <w:bookmarkEnd w:id="0"/>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（五）</w:t>
      </w:r>
      <w:r>
        <w:rPr>
          <w:rFonts w:hint="eastAsia" w:ascii="仿宋" w:hAnsi="仿宋" w:eastAsia="仿宋" w:cs="仿宋"/>
          <w:kern w:val="0"/>
          <w:sz w:val="32"/>
          <w:szCs w:val="32"/>
          <w:lang w:eastAsia="zh-CN"/>
        </w:rPr>
        <w:t>坚持抓早抓小、源头预防，不断加大纪律审查力度</w:t>
      </w:r>
      <w:r>
        <w:rPr>
          <w:rFonts w:hint="eastAsia" w:ascii="仿宋" w:hAnsi="仿宋" w:eastAsia="仿宋" w:cs="仿宋"/>
          <w:kern w:val="0"/>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rPr>
        <w:t>（六）</w:t>
      </w:r>
      <w:r>
        <w:rPr>
          <w:rFonts w:hint="eastAsia" w:ascii="仿宋" w:hAnsi="仿宋" w:eastAsia="仿宋" w:cs="仿宋"/>
          <w:kern w:val="0"/>
          <w:sz w:val="32"/>
          <w:szCs w:val="32"/>
          <w:lang w:val="en-US" w:eastAsia="zh-CN"/>
        </w:rPr>
        <w:t>持续深化“三转”，推进深化国家监察体制改革试点工作，打造让党放心、人民信赖的纪检铁军</w:t>
      </w:r>
      <w:r>
        <w:rPr>
          <w:rFonts w:hint="eastAsia" w:ascii="仿宋" w:hAnsi="仿宋" w:eastAsia="仿宋" w:cs="仿宋"/>
          <w:kern w:val="0"/>
          <w:sz w:val="32"/>
          <w:szCs w:val="32"/>
        </w:rPr>
        <w:t>；</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r>
        <w:rPr>
          <w:rFonts w:hint="eastAsia" w:ascii="仿宋" w:hAnsi="仿宋" w:eastAsia="仿宋" w:cs="仿宋"/>
          <w:kern w:val="0"/>
          <w:sz w:val="32"/>
          <w:szCs w:val="32"/>
          <w:lang w:eastAsia="zh-CN"/>
        </w:rPr>
        <w:t>（</w:t>
      </w:r>
      <w:r>
        <w:rPr>
          <w:rFonts w:hint="eastAsia" w:ascii="仿宋" w:hAnsi="仿宋" w:eastAsia="仿宋" w:cs="仿宋"/>
          <w:kern w:val="0"/>
          <w:sz w:val="32"/>
          <w:szCs w:val="32"/>
        </w:rPr>
        <w:t>七</w:t>
      </w:r>
      <w:r>
        <w:rPr>
          <w:rFonts w:hint="eastAsia" w:ascii="仿宋" w:hAnsi="仿宋" w:eastAsia="仿宋" w:cs="仿宋"/>
          <w:kern w:val="0"/>
          <w:sz w:val="32"/>
          <w:szCs w:val="32"/>
          <w:lang w:eastAsia="zh-CN"/>
        </w:rPr>
        <w:t>）</w:t>
      </w:r>
      <w:r>
        <w:rPr>
          <w:rFonts w:hint="eastAsia" w:ascii="仿宋" w:hAnsi="仿宋" w:eastAsia="仿宋" w:cs="仿宋"/>
          <w:kern w:val="0"/>
          <w:sz w:val="32"/>
          <w:szCs w:val="32"/>
        </w:rPr>
        <w:t>以查找问题为导向，推动“一问责八清理”、</w:t>
      </w:r>
      <w:r>
        <w:rPr>
          <w:rFonts w:hint="eastAsia" w:ascii="仿宋" w:hAnsi="仿宋" w:eastAsia="仿宋" w:cs="仿宋"/>
          <w:kern w:val="0"/>
          <w:sz w:val="32"/>
          <w:szCs w:val="32"/>
          <w:lang w:eastAsia="zh-CN"/>
        </w:rPr>
        <w:t>基层</w:t>
      </w:r>
      <w:r>
        <w:rPr>
          <w:rFonts w:hint="eastAsia" w:ascii="仿宋" w:hAnsi="仿宋" w:eastAsia="仿宋" w:cs="仿宋"/>
          <w:kern w:val="0"/>
          <w:sz w:val="32"/>
          <w:szCs w:val="32"/>
        </w:rPr>
        <w:t>“微腐败”两个专项行动深入开展。</w:t>
      </w:r>
    </w:p>
    <w:p>
      <w:pPr>
        <w:keepNext w:val="0"/>
        <w:keepLines w:val="0"/>
        <w:pageBreakBefore w:val="0"/>
        <w:widowControl w:val="0"/>
        <w:kinsoku/>
        <w:wordWrap/>
        <w:overflowPunct/>
        <w:topLinePunct w:val="0"/>
        <w:autoSpaceDE/>
        <w:autoSpaceDN/>
        <w:bidi w:val="0"/>
        <w:adjustRightInd/>
        <w:snapToGrid/>
        <w:spacing w:after="0" w:line="560" w:lineRule="exact"/>
        <w:ind w:firstLine="640" w:firstLineChars="200"/>
        <w:textAlignment w:val="auto"/>
        <w:rPr>
          <w:rFonts w:hint="eastAsia" w:ascii="仿宋" w:hAnsi="仿宋" w:eastAsia="仿宋" w:cs="仿宋"/>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jc w:val="left"/>
        <w:outlineLvl w:val="0"/>
        <w:rPr>
          <w:rFonts w:hint="eastAsia" w:ascii="黑体" w:hAnsi="Calibri" w:eastAsia="黑体" w:cs="黑体"/>
          <w:kern w:val="0"/>
          <w:sz w:val="32"/>
          <w:szCs w:val="32"/>
          <w:lang w:val="en-US" w:eastAsia="zh-CN"/>
        </w:rPr>
      </w:pPr>
      <w:r>
        <w:rPr>
          <w:rFonts w:hint="eastAsia" w:ascii="黑体" w:hAnsi="Calibri" w:eastAsia="黑体" w:cs="黑体"/>
          <w:kern w:val="0"/>
          <w:sz w:val="32"/>
          <w:szCs w:val="32"/>
          <w:lang w:val="en-US" w:eastAsia="zh-CN"/>
        </w:rPr>
        <w:t xml:space="preserve"> </w:t>
      </w:r>
    </w:p>
    <w:p>
      <w:pPr>
        <w:keepNext/>
        <w:keepLines/>
        <w:spacing w:line="580" w:lineRule="exact"/>
        <w:jc w:val="left"/>
        <w:outlineLvl w:val="0"/>
        <w:rPr>
          <w:rFonts w:hint="eastAsia" w:ascii="黑体" w:hAnsi="Calibri" w:eastAsia="黑体" w:cs="黑体"/>
          <w:kern w:val="0"/>
          <w:sz w:val="32"/>
          <w:szCs w:val="32"/>
          <w:lang w:val="en-US" w:eastAsia="zh-CN"/>
        </w:rPr>
      </w:pPr>
    </w:p>
    <w:p>
      <w:pPr>
        <w:keepNext/>
        <w:keepLines/>
        <w:spacing w:line="580" w:lineRule="exact"/>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 xml:space="preserve">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jc w:val="center"/>
              <w:rPr>
                <w:rFonts w:ascii="仿宋_GB2312" w:eastAsia="仿宋_GB2312" w:cs="ArialUnicodeMS" w:hAnsiTheme="minorHAnsi"/>
                <w:kern w:val="0"/>
                <w:sz w:val="28"/>
                <w:szCs w:val="28"/>
              </w:rPr>
            </w:pPr>
            <w:r>
              <w:rPr>
                <w:rFonts w:hint="eastAsia" w:ascii="仿宋" w:hAnsi="仿宋" w:eastAsia="仿宋" w:cs="仿宋"/>
                <w:kern w:val="0"/>
                <w:sz w:val="28"/>
                <w:szCs w:val="28"/>
              </w:rPr>
              <w:t>中国共产党深泽县纪律检查委员会</w:t>
            </w:r>
          </w:p>
        </w:tc>
        <w:tc>
          <w:tcPr>
            <w:tcW w:w="2445" w:type="dxa"/>
          </w:tcPr>
          <w:p>
            <w:pPr>
              <w:spacing w:after="0" w:line="560" w:lineRule="exact"/>
              <w:jc w:val="center"/>
              <w:rPr>
                <w:rFonts w:hint="eastAsia" w:ascii="仿宋_GB2312" w:eastAsia="宋体" w:cs="ArialUnicodeMS" w:hAnsiTheme="minorHAnsi"/>
                <w:kern w:val="0"/>
                <w:sz w:val="28"/>
                <w:szCs w:val="28"/>
                <w:lang w:eastAsia="zh-CN"/>
              </w:rPr>
            </w:pPr>
            <w:r>
              <w:rPr>
                <w:rFonts w:hint="eastAsia" w:ascii="仿宋_GB2312" w:eastAsia="仿宋_GB2312" w:cs="ArialUnicodeMS" w:hAnsiTheme="minorHAnsi"/>
                <w:kern w:val="0"/>
                <w:sz w:val="28"/>
                <w:szCs w:val="28"/>
              </w:rPr>
              <w:t>行政</w:t>
            </w:r>
            <w:r>
              <w:rPr>
                <w:rFonts w:hint="eastAsia" w:ascii="仿宋_GB2312" w:eastAsia="仿宋_GB2312" w:cs="ArialUnicodeMS" w:hAnsiTheme="minorHAnsi"/>
                <w:kern w:val="0"/>
                <w:sz w:val="28"/>
                <w:szCs w:val="28"/>
                <w:lang w:eastAsia="zh-CN"/>
              </w:rPr>
              <w:t>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7462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8896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8896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本部门2019年度收支总计（含结转和结余）799.76万元。与2018年度决算相比，收支各增加</w:t>
      </w:r>
      <w:r>
        <w:rPr>
          <w:rFonts w:hint="eastAsia" w:ascii="仿宋_GB2312" w:hAnsi="Times New Roman" w:eastAsia="仿宋_GB2312" w:cs="DengXian-Regular"/>
          <w:sz w:val="32"/>
          <w:szCs w:val="32"/>
          <w:lang w:val="en-US" w:eastAsia="zh-CN"/>
        </w:rPr>
        <w:t>207.34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35.0</w:t>
      </w:r>
      <w:r>
        <w:rPr>
          <w:rFonts w:hint="eastAsia" w:ascii="仿宋_GB2312" w:hAnsi="Times New Roman" w:eastAsia="仿宋_GB2312" w:cs="DengXian-Regular"/>
          <w:sz w:val="32"/>
          <w:szCs w:val="32"/>
        </w:rPr>
        <w:t>%，主要原因是</w:t>
      </w:r>
      <w:r>
        <w:rPr>
          <w:rStyle w:val="12"/>
          <w:rFonts w:hint="eastAsia" w:ascii="仿宋_GB2312" w:hAnsi="仿宋_GB2312" w:eastAsia="仿宋_GB2312" w:cs="仿宋_GB2312"/>
          <w:sz w:val="32"/>
          <w:szCs w:val="32"/>
          <w:lang w:val="en-US" w:eastAsia="zh-CN"/>
        </w:rPr>
        <w:t>机构改革，人员调入，统筹巡察组所有经费由县纪委管理。</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lang w:val="en-US" w:eastAsia="zh-CN"/>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r>
        <w:rPr>
          <w:rFonts w:hint="eastAsia" w:ascii="仿宋_GB2312" w:hAnsi="Times New Roman" w:eastAsia="仿宋_GB2312" w:cs="DengXian-Regular"/>
          <w:sz w:val="32"/>
          <w:szCs w:val="32"/>
          <w:lang w:val="en-US" w:eastAsia="zh-CN"/>
        </w:rPr>
        <w:t>:</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2032" behindDoc="0" locked="0" layoutInCell="1" allowOverlap="1">
            <wp:simplePos x="0" y="0"/>
            <wp:positionH relativeFrom="column">
              <wp:posOffset>515620</wp:posOffset>
            </wp:positionH>
            <wp:positionV relativeFrom="paragraph">
              <wp:posOffset>210820</wp:posOffset>
            </wp:positionV>
            <wp:extent cx="4572000" cy="2743200"/>
            <wp:effectExtent l="0" t="0" r="0" b="0"/>
            <wp:wrapSquare wrapText="bothSides"/>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420" w:firstLineChars="200"/>
        <w:outlineLvl w:val="1"/>
        <w:rPr>
          <w:rFonts w:ascii="黑体" w:hAnsi="Calibri" w:eastAsia="黑体" w:cs="Times New Roman"/>
          <w:b/>
          <w:bCs/>
          <w:sz w:val="32"/>
          <w:szCs w:val="32"/>
        </w:rPr>
      </w:pPr>
      <w:r>
        <w:drawing>
          <wp:anchor distT="0" distB="0" distL="114300" distR="114300" simplePos="0" relativeHeight="251693056" behindDoc="0" locked="0" layoutInCell="1" allowOverlap="1">
            <wp:simplePos x="0" y="0"/>
            <wp:positionH relativeFrom="column">
              <wp:posOffset>314325</wp:posOffset>
            </wp:positionH>
            <wp:positionV relativeFrom="paragraph">
              <wp:posOffset>71755</wp:posOffset>
            </wp:positionV>
            <wp:extent cx="4572000" cy="2743200"/>
            <wp:effectExtent l="0" t="0" r="0" b="0"/>
            <wp:wrapSquare wrapText="bothSides"/>
            <wp:docPr id="108"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207.34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35.0</w:t>
      </w:r>
      <w:r>
        <w:rPr>
          <w:rFonts w:hint="eastAsia" w:ascii="仿宋_GB2312" w:hAnsi="Times New Roman" w:eastAsia="仿宋_GB2312" w:cs="DengXian-Regular"/>
          <w:sz w:val="32"/>
          <w:szCs w:val="32"/>
        </w:rPr>
        <w:t>%，主要是</w:t>
      </w:r>
      <w:r>
        <w:rPr>
          <w:rStyle w:val="12"/>
          <w:rFonts w:hint="eastAsia" w:ascii="仿宋_GB2312" w:hAnsi="仿宋_GB2312" w:eastAsia="仿宋_GB2312" w:cs="仿宋_GB2312"/>
          <w:sz w:val="32"/>
          <w:szCs w:val="32"/>
          <w:lang w:val="en-US" w:eastAsia="zh-CN"/>
        </w:rPr>
        <w:t>机构改革，人员调入，统筹巡察组所有经费由县纪委管理</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207.34</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35.0</w:t>
      </w:r>
      <w:r>
        <w:rPr>
          <w:rFonts w:hint="eastAsia" w:ascii="仿宋_GB2312" w:hAnsi="Times New Roman" w:eastAsia="仿宋_GB2312" w:cs="DengXian-Regular"/>
          <w:sz w:val="32"/>
          <w:szCs w:val="32"/>
        </w:rPr>
        <w:t>%，</w:t>
      </w:r>
      <w:r>
        <w:rPr>
          <w:rFonts w:hint="eastAsia" w:ascii="仿宋" w:hAnsi="仿宋" w:eastAsia="仿宋" w:cs="仿宋"/>
          <w:color w:val="auto"/>
          <w:sz w:val="32"/>
          <w:szCs w:val="32"/>
        </w:rPr>
        <w:t>主要是</w:t>
      </w:r>
      <w:r>
        <w:rPr>
          <w:rStyle w:val="12"/>
          <w:rFonts w:hint="eastAsia" w:ascii="仿宋_GB2312" w:hAnsi="仿宋_GB2312" w:eastAsia="仿宋_GB2312" w:cs="仿宋_GB2312"/>
          <w:sz w:val="32"/>
          <w:szCs w:val="32"/>
          <w:lang w:val="en-US" w:eastAsia="zh-CN"/>
        </w:rPr>
        <w:t>机构改革，人员调入，统筹巡察组所有经费由县纪委管理。</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lang w:eastAsia="zh-CN"/>
        </w:rPr>
      </w:pPr>
      <w:r>
        <w:rPr>
          <w:rFonts w:hint="eastAsia" w:ascii="楷体_GB2312" w:hAnsi="Times New Roman" w:eastAsia="楷体_GB2312" w:cs="DengXian-Bold"/>
          <w:b/>
          <w:bCs/>
          <w:sz w:val="32"/>
          <w:szCs w:val="32"/>
          <w:lang w:eastAsia="zh-CN"/>
        </w:rPr>
        <w:drawing>
          <wp:anchor distT="0" distB="0" distL="114300" distR="114300" simplePos="0" relativeHeight="251700224" behindDoc="0" locked="0" layoutInCell="1" allowOverlap="1">
            <wp:simplePos x="0" y="0"/>
            <wp:positionH relativeFrom="column">
              <wp:posOffset>400050</wp:posOffset>
            </wp:positionH>
            <wp:positionV relativeFrom="paragraph">
              <wp:posOffset>144145</wp:posOffset>
            </wp:positionV>
            <wp:extent cx="5059045" cy="2731135"/>
            <wp:effectExtent l="4445" t="4445" r="22860" b="7620"/>
            <wp:wrapSquare wrapText="bothSides"/>
            <wp:docPr id="57" name="图表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420" w:firstLineChars="200"/>
        <w:rPr>
          <w:rFonts w:hint="eastAsia" w:ascii="楷体_GB2312" w:hAnsi="Times New Roman" w:eastAsia="楷体_GB2312" w:cs="DengXian-Bold"/>
          <w:b/>
          <w:bCs/>
          <w:sz w:val="32"/>
          <w:szCs w:val="32"/>
        </w:rPr>
      </w:pPr>
      <w:r>
        <mc:AlternateContent>
          <mc:Choice Requires="wps">
            <w:drawing>
              <wp:anchor distT="0" distB="0" distL="114300" distR="114300" simplePos="0" relativeHeight="251694080" behindDoc="0" locked="0" layoutInCell="1" allowOverlap="1">
                <wp:simplePos x="0" y="0"/>
                <wp:positionH relativeFrom="column">
                  <wp:posOffset>784860</wp:posOffset>
                </wp:positionH>
                <wp:positionV relativeFrom="paragraph">
                  <wp:posOffset>190500</wp:posOffset>
                </wp:positionV>
                <wp:extent cx="4204970" cy="535305"/>
                <wp:effectExtent l="0" t="0" r="5080" b="17145"/>
                <wp:wrapNone/>
                <wp:docPr id="66" name="文本框 66"/>
                <wp:cNvGraphicFramePr/>
                <a:graphic xmlns:a="http://schemas.openxmlformats.org/drawingml/2006/main">
                  <a:graphicData uri="http://schemas.microsoft.com/office/word/2010/wordprocessingShape">
                    <wps:wsp>
                      <wps:cNvSpPr txBox="1"/>
                      <wps:spPr>
                        <a:xfrm>
                          <a:off x="0" y="0"/>
                          <a:ext cx="4204970" cy="53530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1.8pt;margin-top:15pt;height:42.15pt;width:331.1pt;z-index:251694080;mso-width-relative:page;mso-height-relative:page;" fillcolor="#FFFFFF [3201]" filled="t" stroked="f" coordsize="21600,21600" o:gfxdata="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AH1x0dQAAAAKAQAADwAAAAAA&#10;AAABACAAAAAiAAAAZHJzL2Rvd25yZXYueG1sUEsBAhQAFAAAAAgAh07iQHf9irVQAgAAkQQAAA4A&#10;AAAAAAAAAQAgAAAAIwEAAGRycy9lMm9Eb2MueG1sUEsFBgAAAAAGAAYAWQEAAOUFA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w:t>
                      </w:r>
                      <w:r>
                        <w:rPr>
                          <w:rFonts w:hint="eastAsia" w:ascii="仿宋_GB2312" w:eastAsia="仿宋_GB2312" w:cs="DengXian-Regular"/>
                          <w:sz w:val="28"/>
                          <w:szCs w:val="28"/>
                          <w:lang w:val="en-US" w:eastAsia="zh-CN"/>
                        </w:rPr>
                        <w:t>8</w:t>
                      </w:r>
                      <w:r>
                        <w:rPr>
                          <w:rFonts w:hint="eastAsia" w:ascii="仿宋_GB2312" w:eastAsia="仿宋_GB2312" w:cs="DengXian-Regular"/>
                          <w:sz w:val="28"/>
                          <w:szCs w:val="28"/>
                        </w:rPr>
                        <w:t>-201</w:t>
                      </w:r>
                      <w:r>
                        <w:rPr>
                          <w:rFonts w:hint="eastAsia" w:ascii="仿宋_GB2312" w:eastAsia="仿宋_GB2312" w:cs="DengXian-Regular"/>
                          <w:sz w:val="28"/>
                          <w:szCs w:val="28"/>
                          <w:lang w:val="en-US" w:eastAsia="zh-CN"/>
                        </w:rPr>
                        <w:t>9</w:t>
                      </w:r>
                      <w:r>
                        <w:rPr>
                          <w:rFonts w:hint="eastAsia" w:ascii="仿宋_GB2312" w:eastAsia="仿宋_GB2312" w:cs="DengXian-Regular"/>
                          <w:sz w:val="28"/>
                          <w:szCs w:val="28"/>
                        </w:rPr>
                        <w:t>年财政拨款收支情况</w:t>
                      </w:r>
                    </w:p>
                    <w:p>
                      <w:pPr>
                        <w:rPr>
                          <w:sz w:val="20"/>
                          <w:szCs w:val="22"/>
                        </w:rPr>
                      </w:pPr>
                    </w:p>
                  </w:txbxContent>
                </v:textbox>
              </v:shape>
            </w:pict>
          </mc:Fallback>
        </mc:AlternateContent>
      </w: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hint="eastAsia"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%（如图4）,比年初预算减少</w:t>
      </w:r>
      <w:r>
        <w:rPr>
          <w:rFonts w:hint="eastAsia" w:ascii="仿宋_GB2312" w:hAnsi="Times New Roman" w:eastAsia="仿宋_GB2312" w:cs="DengXian-Regular"/>
          <w:sz w:val="32"/>
          <w:szCs w:val="32"/>
          <w:lang w:val="en-US" w:eastAsia="zh-CN"/>
        </w:rPr>
        <w:t>23.00</w:t>
      </w:r>
      <w:r>
        <w:rPr>
          <w:rFonts w:hint="eastAsia" w:ascii="仿宋_GB2312" w:hAnsi="Times New Roman" w:eastAsia="仿宋_GB2312" w:cs="DengXian-Regular"/>
          <w:sz w:val="32"/>
          <w:szCs w:val="32"/>
        </w:rPr>
        <w:t>万元，决算数小于预算数主要原因是</w:t>
      </w:r>
      <w:r>
        <w:rPr>
          <w:rFonts w:hint="eastAsia" w:ascii="仿宋" w:hAnsi="仿宋" w:eastAsia="仿宋" w:cs="仿宋"/>
          <w:sz w:val="32"/>
          <w:szCs w:val="32"/>
        </w:rPr>
        <w:t>打细算，厉行节约，减少开支</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97.2</w:t>
      </w:r>
      <w:r>
        <w:rPr>
          <w:rFonts w:hint="eastAsia" w:ascii="仿宋_GB2312" w:hAnsi="Times New Roman" w:eastAsia="仿宋_GB2312" w:cs="DengXian-Regular"/>
          <w:sz w:val="32"/>
          <w:szCs w:val="32"/>
        </w:rPr>
        <w:t>%,比年初预算减少</w:t>
      </w:r>
      <w:r>
        <w:rPr>
          <w:rFonts w:hint="eastAsia" w:ascii="仿宋_GB2312" w:hAnsi="Times New Roman" w:eastAsia="仿宋_GB2312" w:cs="DengXian-Regular"/>
          <w:sz w:val="32"/>
          <w:szCs w:val="32"/>
          <w:lang w:val="en-US" w:eastAsia="zh-CN"/>
        </w:rPr>
        <w:t>23.00</w:t>
      </w:r>
      <w:r>
        <w:rPr>
          <w:rFonts w:hint="eastAsia" w:ascii="仿宋_GB2312" w:hAnsi="Times New Roman" w:eastAsia="仿宋_GB2312" w:cs="DengXian-Regular"/>
          <w:sz w:val="32"/>
          <w:szCs w:val="32"/>
        </w:rPr>
        <w:t>万元，决算数小于预算数主要原因是主要是</w:t>
      </w:r>
      <w:r>
        <w:rPr>
          <w:rFonts w:hint="eastAsia" w:ascii="仿宋" w:hAnsi="仿宋" w:eastAsia="仿宋" w:cs="仿宋"/>
          <w:sz w:val="32"/>
          <w:szCs w:val="32"/>
        </w:rPr>
        <w:t>打细算，厉行节约，减少开支</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701248" behindDoc="0" locked="0" layoutInCell="1" allowOverlap="1">
            <wp:simplePos x="0" y="0"/>
            <wp:positionH relativeFrom="column">
              <wp:posOffset>202565</wp:posOffset>
            </wp:positionH>
            <wp:positionV relativeFrom="paragraph">
              <wp:posOffset>81915</wp:posOffset>
            </wp:positionV>
            <wp:extent cx="5059045" cy="2731135"/>
            <wp:effectExtent l="4445" t="4445" r="22860" b="7620"/>
            <wp:wrapSquare wrapText="bothSides"/>
            <wp:docPr id="58" name="图表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pPr>
        <w:ind w:firstLine="1400" w:firstLineChars="500"/>
      </w:pPr>
      <w:r>
        <w:rPr>
          <w:rFonts w:hint="eastAsia" w:ascii="仿宋_GB2312" w:eastAsia="仿宋_GB2312" w:cs="DengXian-Regular"/>
          <w:sz w:val="28"/>
          <w:szCs w:val="28"/>
        </w:rPr>
        <w:t>图4：财政拨款收支预决算对比情况</w:t>
      </w:r>
    </w:p>
    <w:p>
      <w:pPr>
        <w:adjustRightInd w:val="0"/>
        <w:snapToGrid w:val="0"/>
        <w:spacing w:line="580" w:lineRule="exact"/>
        <w:rPr>
          <w:rFonts w:ascii="仿宋_GB2312" w:hAnsi="Times New Roman" w:eastAsia="仿宋_GB2312" w:cs="DengXian-Regular"/>
          <w:sz w:val="32"/>
          <w:szCs w:val="32"/>
          <w:highlight w:val="yellow"/>
        </w:rPr>
      </w:pP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799.76</w:t>
      </w:r>
      <w:r>
        <w:rPr>
          <w:rFonts w:hint="eastAsia" w:ascii="仿宋_GB2312" w:hAnsi="Times New Roman" w:eastAsia="仿宋_GB2312" w:cs="DengXian-Regular"/>
          <w:sz w:val="32"/>
          <w:szCs w:val="32"/>
        </w:rPr>
        <w:t>万元，主要用于以下方面：一般公共服务（类）支出671.5万元，占</w:t>
      </w:r>
      <w:r>
        <w:rPr>
          <w:rFonts w:hint="eastAsia" w:ascii="仿宋_GB2312" w:hAnsi="Times New Roman" w:eastAsia="仿宋_GB2312" w:cs="DengXian-Regular"/>
          <w:sz w:val="32"/>
          <w:szCs w:val="32"/>
          <w:lang w:val="en-US" w:eastAsia="zh-CN"/>
        </w:rPr>
        <w:t>84.0</w:t>
      </w:r>
      <w:r>
        <w:rPr>
          <w:rFonts w:hint="eastAsia" w:ascii="仿宋_GB2312" w:hAnsi="Times New Roman" w:eastAsia="仿宋_GB2312" w:cs="DengXian-Regular"/>
          <w:sz w:val="32"/>
          <w:szCs w:val="32"/>
        </w:rPr>
        <w:t>%，；社会保障和就业（类）支出64.13万元，占</w:t>
      </w:r>
      <w:r>
        <w:rPr>
          <w:rFonts w:hint="eastAsia" w:ascii="仿宋_GB2312" w:hAnsi="Times New Roman" w:eastAsia="仿宋_GB2312" w:cs="DengXian-Regular"/>
          <w:sz w:val="32"/>
          <w:szCs w:val="32"/>
          <w:lang w:val="en-US" w:eastAsia="zh-CN"/>
        </w:rPr>
        <w:t>8.0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卫生健康支出</w:t>
      </w:r>
      <w:r>
        <w:rPr>
          <w:rFonts w:hint="eastAsia" w:ascii="仿宋_GB2312" w:hAnsi="Times New Roman" w:eastAsia="仿宋_GB2312" w:cs="DengXian-Regular"/>
          <w:sz w:val="32"/>
          <w:szCs w:val="32"/>
        </w:rPr>
        <w:t xml:space="preserve">（类）支出24.01万元，占 </w:t>
      </w:r>
      <w:r>
        <w:rPr>
          <w:rFonts w:hint="eastAsia" w:ascii="仿宋_GB2312" w:hAnsi="Times New Roman" w:eastAsia="仿宋_GB2312" w:cs="DengXian-Regular"/>
          <w:sz w:val="32"/>
          <w:szCs w:val="32"/>
          <w:lang w:val="en-US" w:eastAsia="zh-CN"/>
        </w:rPr>
        <w:t>3.0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 xml:space="preserve">住房保障（类）支出40.11万元，占 </w:t>
      </w:r>
      <w:r>
        <w:rPr>
          <w:rFonts w:hint="eastAsia" w:ascii="仿宋_GB2312" w:hAnsi="Times New Roman" w:eastAsia="仿宋_GB2312" w:cs="DengXian-Regular"/>
          <w:sz w:val="32"/>
          <w:szCs w:val="32"/>
          <w:lang w:val="en-US" w:eastAsia="zh-CN"/>
        </w:rPr>
        <w:t>5.0</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r>
        <w:rPr>
          <w:rFonts w:hint="eastAsia" w:ascii="楷体_GB2312" w:eastAsia="楷体_GB2312" w:cs="DengXian-Bold"/>
          <w:b/>
          <w:bCs/>
          <w:sz w:val="32"/>
          <w:szCs w:val="32"/>
          <w:lang w:eastAsia="zh-CN"/>
        </w:rPr>
        <w:drawing>
          <wp:anchor distT="0" distB="0" distL="114300" distR="114300" simplePos="0" relativeHeight="251695104" behindDoc="0" locked="0" layoutInCell="1" allowOverlap="1">
            <wp:simplePos x="0" y="0"/>
            <wp:positionH relativeFrom="column">
              <wp:posOffset>86360</wp:posOffset>
            </wp:positionH>
            <wp:positionV relativeFrom="paragraph">
              <wp:posOffset>134620</wp:posOffset>
            </wp:positionV>
            <wp:extent cx="5562600" cy="2461260"/>
            <wp:effectExtent l="5080" t="5080" r="13970" b="10160"/>
            <wp:wrapSquare wrapText="bothSides"/>
            <wp:docPr id="36" name="图表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hint="eastAsia"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年度一般公共预算财政拨款基本支出</w:t>
      </w:r>
      <w:r>
        <w:rPr>
          <w:rFonts w:hint="eastAsia" w:ascii="仿宋" w:hAnsi="仿宋" w:eastAsia="仿宋" w:cs="仿宋"/>
          <w:sz w:val="32"/>
          <w:szCs w:val="32"/>
          <w:lang w:val="en-US" w:eastAsia="zh-CN"/>
        </w:rPr>
        <w:t>799.76</w:t>
      </w:r>
      <w:r>
        <w:rPr>
          <w:rFonts w:hint="eastAsia" w:ascii="仿宋_GB2312" w:eastAsia="仿宋_GB2312" w:cs="DengXian-Regular"/>
          <w:sz w:val="32"/>
          <w:szCs w:val="32"/>
        </w:rPr>
        <w:t>万元，其中：人员经费 521.58万元，主要包括基本工资、津贴补贴、机关事业单位基本养老保险缴费、职工基本医疗保险缴费、住房公积金、</w:t>
      </w:r>
      <w:r>
        <w:rPr>
          <w:rFonts w:hint="eastAsia" w:ascii="仿宋_GB2312" w:eastAsia="仿宋_GB2312" w:cs="DengXian-Regular"/>
          <w:sz w:val="32"/>
          <w:szCs w:val="32"/>
          <w:lang w:eastAsia="zh-CN"/>
        </w:rPr>
        <w:t>退休费、奖励金、</w:t>
      </w:r>
      <w:r>
        <w:rPr>
          <w:rFonts w:hint="eastAsia" w:ascii="仿宋_GB2312" w:eastAsia="仿宋_GB2312" w:cs="DengXian-Regular"/>
          <w:sz w:val="32"/>
          <w:szCs w:val="32"/>
        </w:rPr>
        <w:t>其他对个人和家庭的补助支出；公用经费</w:t>
      </w:r>
      <w:r>
        <w:rPr>
          <w:rFonts w:hint="eastAsia" w:ascii="仿宋_GB2312" w:eastAsia="仿宋_GB2312" w:cs="DengXian-Regular"/>
          <w:color w:val="auto"/>
          <w:sz w:val="32"/>
          <w:szCs w:val="32"/>
          <w:highlight w:val="none"/>
        </w:rPr>
        <w:t xml:space="preserve"> 278.18</w:t>
      </w:r>
      <w:r>
        <w:rPr>
          <w:rFonts w:hint="eastAsia" w:ascii="仿宋_GB2312" w:eastAsia="仿宋_GB2312" w:cs="DengXian-Regular"/>
          <w:sz w:val="32"/>
          <w:szCs w:val="32"/>
        </w:rPr>
        <w:t>万元，主要包括办公费、印刷费、</w:t>
      </w:r>
      <w:r>
        <w:rPr>
          <w:rFonts w:hint="eastAsia" w:ascii="仿宋_GB2312" w:eastAsia="仿宋_GB2312" w:cs="DengXian-Regular"/>
          <w:sz w:val="32"/>
          <w:szCs w:val="32"/>
          <w:lang w:eastAsia="zh-CN"/>
        </w:rPr>
        <w:t>电费、</w:t>
      </w:r>
      <w:r>
        <w:rPr>
          <w:rFonts w:hint="eastAsia" w:ascii="仿宋_GB2312" w:eastAsia="仿宋_GB2312" w:cs="DengXian-Regular"/>
          <w:sz w:val="32"/>
          <w:szCs w:val="32"/>
        </w:rPr>
        <w:t>邮电费、</w:t>
      </w:r>
      <w:r>
        <w:rPr>
          <w:rFonts w:hint="eastAsia" w:ascii="仿宋_GB2312" w:eastAsia="仿宋_GB2312" w:cs="DengXian-Regular"/>
          <w:sz w:val="32"/>
          <w:szCs w:val="32"/>
          <w:lang w:eastAsia="zh-CN"/>
        </w:rPr>
        <w:t>取暖费、</w:t>
      </w:r>
      <w:r>
        <w:rPr>
          <w:rFonts w:hint="eastAsia" w:ascii="仿宋_GB2312" w:eastAsia="仿宋_GB2312" w:cs="DengXian-Regular"/>
          <w:sz w:val="32"/>
          <w:szCs w:val="32"/>
        </w:rPr>
        <w:t>差旅费、维修（护）费、</w:t>
      </w:r>
      <w:r>
        <w:rPr>
          <w:rFonts w:hint="eastAsia" w:ascii="仿宋_GB2312" w:eastAsia="仿宋_GB2312" w:cs="DengXian-Regular"/>
          <w:sz w:val="32"/>
          <w:szCs w:val="32"/>
          <w:lang w:eastAsia="zh-CN"/>
        </w:rPr>
        <w:t>劳务费、其他交通费、</w:t>
      </w:r>
      <w:r>
        <w:rPr>
          <w:rFonts w:hint="eastAsia" w:ascii="仿宋_GB2312" w:eastAsia="仿宋_GB2312" w:cs="DengXian-Regular"/>
          <w:sz w:val="32"/>
          <w:szCs w:val="32"/>
        </w:rPr>
        <w:t>公务用车运行维护费、其他交通费用、</w:t>
      </w:r>
      <w:r>
        <w:rPr>
          <w:rFonts w:hint="eastAsia" w:ascii="仿宋_GB2312" w:eastAsia="仿宋_GB2312" w:cs="DengXian-Regular"/>
          <w:sz w:val="32"/>
          <w:szCs w:val="32"/>
          <w:lang w:eastAsia="zh-CN"/>
        </w:rPr>
        <w:t>办公设备</w:t>
      </w:r>
      <w:r>
        <w:rPr>
          <w:rFonts w:hint="eastAsia" w:ascii="仿宋_GB2312" w:eastAsia="仿宋_GB2312" w:cs="DengXian-Regular"/>
          <w:sz w:val="32"/>
          <w:szCs w:val="32"/>
        </w:rPr>
        <w:t>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0" w:firstLineChars="200"/>
        <w:jc w:val="both"/>
        <w:textAlignment w:val="auto"/>
        <w:outlineLvl w:val="9"/>
        <w:rPr>
          <w:rFonts w:hint="eastAsia" w:ascii="仿宋" w:hAnsi="仿宋" w:eastAsia="仿宋" w:cs="仿宋"/>
          <w:sz w:val="32"/>
          <w:szCs w:val="32"/>
          <w:lang w:eastAsia="zh-CN"/>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16.4</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100</w:t>
      </w:r>
      <w:r>
        <w:rPr>
          <w:rFonts w:hint="eastAsia" w:ascii="仿宋_GB2312" w:hAnsi="Times New Roman" w:eastAsia="仿宋_GB2312" w:cs="DengXian-Regular"/>
          <w:sz w:val="32"/>
          <w:szCs w:val="32"/>
        </w:rPr>
        <w:t>%,较预算增加（减少）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%，主要是</w:t>
      </w:r>
      <w:r>
        <w:rPr>
          <w:rFonts w:hint="eastAsia" w:ascii="仿宋" w:hAnsi="仿宋" w:eastAsia="仿宋" w:cs="仿宋"/>
          <w:sz w:val="32"/>
          <w:szCs w:val="32"/>
        </w:rPr>
        <w:t>“三公”经费支出，较年初预算无增减变化</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14.2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%，主要是</w:t>
      </w:r>
      <w:r>
        <w:rPr>
          <w:rFonts w:hint="eastAsia" w:ascii="仿宋" w:hAnsi="仿宋" w:eastAsia="仿宋" w:cs="仿宋"/>
          <w:sz w:val="32"/>
          <w:szCs w:val="32"/>
        </w:rPr>
        <w:t>精打细算，厉行节约，减少开支</w:t>
      </w:r>
      <w:r>
        <w:rPr>
          <w:rFonts w:hint="eastAsia" w:ascii="仿宋" w:hAnsi="仿宋" w:eastAsia="仿宋" w:cs="仿宋"/>
          <w:sz w:val="32"/>
          <w:szCs w:val="32"/>
          <w:lang w:eastAsia="zh-CN"/>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人/无本单位组织的出国（境）团组。因公出国（境）费支出较预算增加（减少）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14.2</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643" w:firstLineChars="200"/>
        <w:jc w:val="both"/>
        <w:textAlignment w:val="auto"/>
        <w:outlineLvl w:val="9"/>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w:t>
      </w:r>
      <w:r>
        <w:rPr>
          <w:rFonts w:hint="eastAsia" w:ascii="仿宋_GB2312" w:hAnsi="Times New Roman" w:eastAsia="仿宋_GB2312" w:cs="DengXian-Regular"/>
          <w:sz w:val="32"/>
          <w:szCs w:val="32"/>
          <w:lang w:eastAsia="zh-CN"/>
        </w:rPr>
        <w:t>减少</w:t>
      </w:r>
      <w:r>
        <w:rPr>
          <w:rFonts w:hint="eastAsia" w:ascii="仿宋_GB2312" w:hAnsi="Times New Roman" w:eastAsia="仿宋_GB2312" w:cs="DengXian-Regular"/>
          <w:sz w:val="32"/>
          <w:szCs w:val="32"/>
          <w:lang w:val="en-US" w:eastAsia="zh-CN"/>
        </w:rPr>
        <w:t>14.2</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降低</w:t>
      </w:r>
      <w:r>
        <w:rPr>
          <w:rFonts w:hint="eastAsia" w:ascii="仿宋_GB2312" w:hAnsi="Times New Roman" w:eastAsia="仿宋_GB2312" w:cs="DengXian-Regular"/>
          <w:sz w:val="32"/>
          <w:szCs w:val="32"/>
          <w:lang w:val="en-US" w:eastAsia="zh-CN"/>
        </w:rPr>
        <w:t>46.4</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主要是</w:t>
      </w:r>
      <w:r>
        <w:rPr>
          <w:rFonts w:hint="eastAsia" w:ascii="仿宋_GB2312" w:hAnsi="Times New Roman" w:eastAsia="仿宋_GB2312" w:cs="DengXian-Regular"/>
          <w:sz w:val="32"/>
          <w:szCs w:val="32"/>
          <w:lang w:val="en-US" w:eastAsia="zh-CN"/>
        </w:rPr>
        <w:t>精打细算，厉行节约，减少开支。</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人次。公务接待费支出较预算减少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仿宋" w:hAnsi="仿宋" w:eastAsia="仿宋" w:cs="仿宋"/>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（二）预算项目绩效评价开展情况</w:t>
      </w:r>
      <w:r>
        <w:rPr>
          <w:rFonts w:hint="eastAsia" w:ascii="楷体_GB2312" w:eastAsia="楷体_GB2312" w:cs="DengXian-Bold"/>
          <w:b/>
          <w:bCs/>
          <w:sz w:val="32"/>
          <w:szCs w:val="32"/>
          <w:lang w:eastAsia="zh-CN"/>
        </w:rPr>
        <w:t>。</w:t>
      </w:r>
      <w:r>
        <w:rPr>
          <w:rFonts w:hint="eastAsia" w:ascii="仿宋_GB2312" w:eastAsia="仿宋_GB2312" w:cs="DengXian-Regular"/>
          <w:sz w:val="32"/>
          <w:szCs w:val="32"/>
        </w:rPr>
        <w:t>本单位无项目支出项目。</w:t>
      </w:r>
    </w:p>
    <w:p>
      <w:pPr>
        <w:adjustRightInd w:val="0"/>
        <w:snapToGrid w:val="0"/>
        <w:spacing w:after="0" w:line="580" w:lineRule="exact"/>
        <w:ind w:firstLine="643" w:firstLineChars="200"/>
        <w:rPr>
          <w:rFonts w:hint="eastAsia" w:ascii="仿宋_GB2312" w:eastAsia="仿宋_GB2312" w:cs="DengXian-Regular"/>
          <w:sz w:val="32"/>
          <w:szCs w:val="32"/>
        </w:rPr>
      </w:pPr>
      <w:r>
        <w:rPr>
          <w:rFonts w:hint="eastAsia" w:ascii="楷体_GB2312" w:eastAsia="楷体_GB2312" w:cs="DengXian-Bold"/>
          <w:b/>
          <w:bCs/>
          <w:sz w:val="32"/>
          <w:szCs w:val="32"/>
        </w:rPr>
        <w:t>（三）预算项目绩效自评选例</w:t>
      </w:r>
      <w:r>
        <w:rPr>
          <w:rFonts w:hint="eastAsia" w:ascii="楷体_GB2312" w:eastAsia="楷体_GB2312" w:cs="DengXian-Bold"/>
          <w:b/>
          <w:bCs/>
          <w:sz w:val="32"/>
          <w:szCs w:val="32"/>
          <w:lang w:eastAsia="zh-CN"/>
        </w:rPr>
        <w:t>。</w:t>
      </w:r>
      <w:r>
        <w:rPr>
          <w:rFonts w:hint="eastAsia" w:ascii="仿宋_GB2312" w:eastAsia="仿宋_GB2312" w:cs="DengXian-Regular"/>
          <w:sz w:val="32"/>
          <w:szCs w:val="32"/>
        </w:rPr>
        <w:t>本单位无民生项目和重点支出项目。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278.18</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162.59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140.7</w:t>
      </w:r>
      <w:r>
        <w:rPr>
          <w:rFonts w:hint="eastAsia" w:ascii="仿宋_GB2312" w:hAnsi="Times New Roman" w:eastAsia="仿宋_GB2312" w:cs="DengXian-Regular"/>
          <w:sz w:val="32"/>
          <w:szCs w:val="32"/>
        </w:rPr>
        <w:t>%。主要原因是</w:t>
      </w:r>
      <w:r>
        <w:rPr>
          <w:rFonts w:hint="eastAsia" w:ascii="仿宋" w:hAnsi="仿宋" w:eastAsia="仿宋" w:cs="仿宋"/>
          <w:sz w:val="32"/>
          <w:szCs w:val="32"/>
          <w:lang w:eastAsia="zh-CN"/>
        </w:rPr>
        <w:t>购置固定资产，用于保障审查、调查、巡察工作正常开展</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 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4</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台（套）比上年增加（减少）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套。</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after="0" w:line="580" w:lineRule="exact"/>
        <w:ind w:firstLine="640" w:firstLineChars="200"/>
        <w:rPr>
          <w:rFonts w:hint="eastAsia" w:ascii="仿宋_GB2312" w:eastAsia="仿宋_GB2312" w:cs="DengXian-Regular"/>
          <w:sz w:val="32"/>
          <w:szCs w:val="32"/>
        </w:rPr>
      </w:pPr>
      <w:r>
        <w:rPr>
          <w:rFonts w:hint="eastAsia" w:ascii="仿宋_GB2312" w:hAnsi="Times New Roman" w:eastAsia="仿宋_GB2312" w:cs="DengXian-Regular"/>
          <w:sz w:val="32"/>
          <w:szCs w:val="32"/>
        </w:rPr>
        <w:t xml:space="preserve">1. </w:t>
      </w:r>
      <w:r>
        <w:rPr>
          <w:rFonts w:hint="eastAsia" w:ascii="仿宋_GB2312" w:eastAsia="仿宋_GB2312" w:cs="DengXian-Regular"/>
          <w:sz w:val="32"/>
          <w:szCs w:val="32"/>
        </w:rPr>
        <w:t>本部门201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年度政府性基金预算财政拨款</w:t>
      </w:r>
      <w:r>
        <w:rPr>
          <w:rFonts w:hint="eastAsia" w:ascii="仿宋_GB2312" w:eastAsia="仿宋_GB2312" w:cs="DengXian-Regular"/>
          <w:sz w:val="32"/>
          <w:szCs w:val="32"/>
        </w:rPr>
        <mc:AlternateContent>
          <mc:Choice Requires="wpg">
            <w:drawing>
              <wp:anchor distT="0" distB="0" distL="114300" distR="114300" simplePos="0" relativeHeight="251696128" behindDoc="0" locked="1" layoutInCell="1" allowOverlap="1">
                <wp:simplePos x="0" y="0"/>
                <wp:positionH relativeFrom="column">
                  <wp:posOffset>-1027430</wp:posOffset>
                </wp:positionH>
                <wp:positionV relativeFrom="page">
                  <wp:posOffset>-1029970</wp:posOffset>
                </wp:positionV>
                <wp:extent cx="3088640" cy="523240"/>
                <wp:effectExtent l="0" t="0" r="16510" b="10160"/>
                <wp:wrapNone/>
                <wp:docPr id="68" name="组合 68"/>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9"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96128;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ByaUsrcAAAADQEAAA8AAAAAAAAAAQAgAAAAIgAAAGRycy9kb3ducmV2Lnht&#10;bFBLAQIUABQAAAAIAIdO4kCXB6U6SwMAAGoJAAAOAAAAAAAAAAEAIAAAACsBAABkcnMvZTJvRG9j&#10;LnhtbFBLBQYAAAAABgAGAFkBAADo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TInXL0AAADb&#10;AAAADwAAAGRycy9kb3ducmV2LnhtbEWPQWsCMRSE7wX/Q3gFbzVRYVu3Rg9S0ZO16sHjY/O6Wbp5&#10;2SZR13/fFAo9DjPzDTNf9q4VVwqx8axhPFIgiCtvGq41nI7rpxcQMSEbbD2ThjtFWC4GD3Msjb/x&#10;B10PqRYZwrFEDTalrpQyVpYcxpHviLP36YPDlGWopQl4y3DXyolShXTYcF6w2NHKUvV1uDgN+8vO&#10;1tNzeD6mTde/nVWxN+/fWg8fx+oVRKI+/Yf/2lujoZjB75f8A+Ti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VMidc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rjZhf7gAAADb&#10;AAAADwAAAGRycy9kb3ducmV2LnhtbEWPwQrCMBBE74L/EFbwpqkKWmpTD4LgwYtaPK/N2habTWmi&#10;1b83guBxmJk3TLp5mUY8qXO1ZQWzaQSCuLC65lJBft5NYhDOI2tsLJOCNznYZMNBiom2PR/pefKl&#10;CBB2CSqovG8TKV1RkUE3tS1x8G62M+iD7EqpO+wD3DRyHkVLabDmsFBhS9uKivvpYRSYenV7XC+H&#10;5ujkIS4oL22+7ZUaj2bRGoSnl/+Hf+29VrBawP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rjZhf7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w:t>
      </w:r>
      <w:r>
        <w:rPr>
          <w:rFonts w:hint="eastAsia" w:ascii="仿宋_GB2312" w:eastAsia="仿宋_GB2312" w:cs="DengXian-Regular"/>
          <w:sz w:val="32"/>
          <w:szCs w:val="32"/>
        </w:rPr>
        <mc:AlternateContent>
          <mc:Choice Requires="wpg">
            <w:drawing>
              <wp:anchor distT="0" distB="0" distL="114300" distR="114300" simplePos="0" relativeHeight="251697152" behindDoc="0" locked="1" layoutInCell="1" allowOverlap="1">
                <wp:simplePos x="0" y="0"/>
                <wp:positionH relativeFrom="column">
                  <wp:posOffset>-875030</wp:posOffset>
                </wp:positionH>
                <wp:positionV relativeFrom="page">
                  <wp:posOffset>-877570</wp:posOffset>
                </wp:positionV>
                <wp:extent cx="3088640" cy="523240"/>
                <wp:effectExtent l="0" t="0" r="16510" b="10160"/>
                <wp:wrapNone/>
                <wp:docPr id="74" name="组合 7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75"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8.9pt;margin-top:-69.1pt;height:41.2pt;width:243.2pt;mso-position-vertical-relative:page;z-index:251697152;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aa7hL0AAADb&#10;AAAADwAAAGRycy9kb3ducmV2LnhtbEWPQWsCMRSE74L/ITyhN01sUcvW6KG01JPV1YPHx+Z1s3Tz&#10;sk2irv++KRQ8DjPzDbNc964VFwqx8axhOlEgiCtvGq41HA/v42cQMSEbbD2ThhtFWK+GgyUWxl95&#10;T5cy1SJDOBaowabUFVLGypLDOPEdcfa+fHCYsgy1NAGvGe5a+ajUXDpsOC9Y7OjVUvVdnp2G3Xlr&#10;66dTWBzSR9e/ndR8Zz5/tH4YTdULiER9uof/2xujYTGDvy/5B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RpruE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gsmsrgAAADb&#10;AAAADwAAAGRycy9kb3ducmV2LnhtbEWPMQvCMBSEd8H/EJ7gpqkOWquxQ0FwcFGL87N5tsXmpTTR&#10;6r83guB43N133CZ9mUY8qXO1ZQWzaQSCuLC65lJBft5NYhDOI2tsLJOCNzlIt8PBBhNtez7S8+RL&#10;ESDsElRQed8mUrqiIoNualvi4N1sZ9AH2ZVSd9gHuGnkPIoW0mDNYaHClrKKivvpYRSYenl7XC+H&#10;5ujkIS4oL22e9UqNR7NoDcLTy//Dv/ZeK4hX8P0SfoDcfg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gsmsr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eastAsia="仿宋_GB2312" w:cs="DengXian-Regular"/>
          <w:sz w:val="32"/>
          <w:szCs w:val="32"/>
        </w:rPr>
        <w:t>款无收支及结转结余情况，故政府性基金预算财政拨款</w:t>
      </w:r>
      <w:r>
        <w:rPr>
          <w:rFonts w:hint="eastAsia" w:ascii="仿宋_GB2312" w:eastAsia="仿宋_GB2312" w:cs="DengXian-Regular"/>
          <w:sz w:val="32"/>
          <w:szCs w:val="32"/>
        </w:rPr>
        <mc:AlternateContent>
          <mc:Choice Requires="wpg">
            <w:drawing>
              <wp:anchor distT="0" distB="0" distL="114300" distR="114300" simplePos="0" relativeHeight="251698176" behindDoc="0" locked="1" layoutInCell="1" allowOverlap="1">
                <wp:simplePos x="0" y="0"/>
                <wp:positionH relativeFrom="column">
                  <wp:posOffset>-722630</wp:posOffset>
                </wp:positionH>
                <wp:positionV relativeFrom="page">
                  <wp:posOffset>-725170</wp:posOffset>
                </wp:positionV>
                <wp:extent cx="3088640" cy="523240"/>
                <wp:effectExtent l="0" t="0" r="16510" b="10160"/>
                <wp:wrapNone/>
                <wp:docPr id="90" name="组合 90"/>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00"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2"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56.9pt;margin-top:-57.1pt;height:41.2pt;width:243.2pt;mso-position-vertical-relative:page;z-index:251698176;mso-width-relative:page;mso-height-relative:page;" coordorigin="4551,52615" coordsize="8546,1398" o:gfxdata="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QvviDb4AAADc&#10;AAAADwAAAGRycy9kb3ducmV2LnhtbEWPzU4DMQyE75V4h8hI3NqkRWqrpWkPiApO0L9Dj9bGbFZs&#10;nCVJ2+Xt8QGJm60Zz3xebYbQqSul3Ea2MJ0YUMR1dC03Fk7H7XgJKhdkh11ksvBDGTbru9EKKxdv&#10;vKfroTRKQjhXaMGX0lda59pTwDyJPbFonzEFLLKmRruENwkPnZ4ZM9cBW5YGjz09e6q/DpdgYXd5&#10;983jOS2O5bUfXs5mvnMf39Y+3E/NE6hCQ/k3/12/OcE3gi/PyAR6/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vviD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c4ZGrYAAADc&#10;AAAADwAAAGRycy9kb3ducmV2LnhtbEVPvQrCMBDeBd8hnOCmiQ4qtamDIDi4qMX5bM622FxKE62+&#10;vREEt/v4fi/dvGwjntT52rGG2VSBIC6cqbnUkJ93kxUIH5ANNo5Jw5s8bLLhIMXEuJ6P9DyFUsQQ&#10;9glqqEJoEyl9UZFFP3UtceRurrMYIuxKaTrsY7ht5FyphbRYc2yosKVtRcX99LAabL28Pa6XQ3P0&#10;8rAqKC9dvu21Ho9mag0i0Cv8xT/33sT5ag7fZ+IFMvsA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I3OGRq2AAAA3AAAAA8A&#10;AAAAAAAAAQAgAAAAIgAAAGRycy9kb3ducmV2LnhtbFBLAQIUABQAAAAIAIdO4kAzLwWeOwAAADkA&#10;AAAQAAAAAAAAAAEAIAAAAAUBAABkcnMvc2hhcGV4bWwueG1sUEsFBgAAAAAGAAYAWwEAAK8DAAAA&#10;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eastAsia="仿宋_GB2312" w:cs="DengXian-Regular"/>
          <w:sz w:val="32"/>
          <w:szCs w:val="32"/>
        </w:rPr>
        <w:t>收入支出决算表</w:t>
      </w:r>
      <w:r>
        <w:rPr>
          <w:rFonts w:hint="eastAsia" w:ascii="仿宋_GB2312" w:eastAsia="仿宋_GB2312" w:cs="DengXian-Regular"/>
          <w:sz w:val="32"/>
          <w:szCs w:val="32"/>
          <w:lang w:eastAsia="zh-CN"/>
        </w:rPr>
        <w:t>、</w:t>
      </w:r>
      <w:r>
        <w:rPr>
          <w:rFonts w:hint="eastAsia" w:ascii="仿宋_GB2312" w:eastAsia="仿宋_GB2312" w:cs="DengXian-Regular"/>
          <w:sz w:val="32"/>
          <w:szCs w:val="32"/>
        </w:rPr>
        <w:t>国有资本经营预算财政拨</w:t>
      </w:r>
      <w:r>
        <w:rPr>
          <w:rFonts w:hint="eastAsia" w:ascii="仿宋_GB2312" w:eastAsia="仿宋_GB2312" w:cs="DengXian-Regular"/>
          <w:sz w:val="32"/>
          <w:szCs w:val="32"/>
        </w:rPr>
        <mc:AlternateContent>
          <mc:Choice Requires="wpg">
            <w:drawing>
              <wp:anchor distT="0" distB="0" distL="114300" distR="114300" simplePos="0" relativeHeight="251699200" behindDoc="0" locked="1" layoutInCell="1" allowOverlap="1">
                <wp:simplePos x="0" y="0"/>
                <wp:positionH relativeFrom="column">
                  <wp:posOffset>-570230</wp:posOffset>
                </wp:positionH>
                <wp:positionV relativeFrom="page">
                  <wp:posOffset>-572770</wp:posOffset>
                </wp:positionV>
                <wp:extent cx="3088640" cy="523240"/>
                <wp:effectExtent l="0" t="0" r="16510" b="10160"/>
                <wp:wrapNone/>
                <wp:docPr id="103" name="组合 10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10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44.9pt;margin-top:-45.1pt;height:41.2pt;width:243.2pt;mso-position-vertical-relative:page;z-index:251699200;mso-width-relative:page;mso-height-relative:page;" coordorigin="4551,52615" coordsize="8546,1398" o:gfxdata="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R91jM2wAAAAoBAAAPAAAAAAAAAAEAIAAAACIAAABkcnMvZG93bnJl&#10;di54bWxQSwECFAAUAAAACACHTuJAmdtJg1ADAABuCQAADgAAAAAAAAABACAAAAAqAQAAZHJzL2Uy&#10;b0RvYy54bWxQSwUGAAAAAAYABgBZAQAA7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PcDkDrsAAADc&#10;AAAADwAAAGRycy9kb3ducmV2LnhtbEVPS2sCMRC+C/6HMIXeamIrWlajB2lpTz578Dhsxs3SzWSb&#10;RF3/vREK3ubje85s0blGnCnE2rOG4UCBIC69qbnS8LP/fHkHEROywcYzabhShMW835thYfyFt3Te&#10;pUrkEI4FarAptYWUsbTkMA58S5y5ow8OU4ahkibgJYe7Rr4qNZYOa84NFltaWip/dyenYXNa2ert&#10;ECb79NV2Hwc13pj1n9bPT0M1BZGoSw/xv/vb5PlqBPdn8gVyfg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PcDkDrsAAADc&#10;AAAADwAAAAAAAAABACAAAAAiAAAAZHJzL2Rvd25yZXYueG1sUEsBAhQAFAAAAAgAh07iQDMvBZ47&#10;AAAAOQAAABAAAAAAAAAAAQAgAAAACgEAAGRycy9zaGFwZXhtbC54bWxQSwUGAAAAAAYABgBbAQAA&#10;tAM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ieBbrYAAADc&#10;AAAADwAAAGRycy9kb3ducmV2LnhtbEVPvQrCMBDeBd8hnOCmiYJaqtFBEBxc1OJ8NmdbbC6liVbf&#10;3giC2318v7favGwtntT6yrGGyViBIM6dqbjQkJ13owSED8gGa8ek4U0eNut+b4WpcR0f6XkKhYgh&#10;7FPUUIbQpFL6vCSLfuwa4sjdXGsxRNgW0rTYxXBby6lSc2mx4thQYkPbkvL76WE12Gpxe1wvh/ro&#10;5SHJKStctu20Hg4magki0Cv8xT/33sT5agbfZ+IFcv0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AIngW62AAAA3AAAAA8A&#10;AAAAAAAAAQAgAAAAIgAAAGRycy9kb3ducmV2LnhtbFBLAQIUABQAAAAIAIdO4kAzLwWeOwAAADkA&#10;AAAQAAAAAAAAAAEAIAAAAAUBAABkcnMvc2hhcGV4bWwueG1sUEsFBgAAAAAGAAYAWwEAAK8DAAAA&#10;AA==&#10;">
                  <v:fill on="t" focussize="0,0"/>
                  <v:stroke weight="1pt" color="#2F528F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pPr>
                          <w:jc w:val="center"/>
                        </w:pPr>
                      </w:p>
                    </w:txbxContent>
                  </v:textbox>
                </v:rect>
                <w10:anchorlock/>
              </v:group>
            </w:pict>
          </mc:Fallback>
        </mc:AlternateContent>
      </w:r>
      <w:r>
        <w:rPr>
          <w:rFonts w:hint="eastAsia" w:ascii="仿宋_GB2312" w:eastAsia="仿宋_GB2312" w:cs="DengXian-Regular"/>
          <w:sz w:val="32"/>
          <w:szCs w:val="32"/>
        </w:rPr>
        <w:t>款支出决算表以空表列示。</w:t>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8998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8998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9100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9100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r>
        <w:drawing>
          <wp:inline distT="0" distB="0" distL="114300" distR="114300">
            <wp:extent cx="8619490" cy="5165090"/>
            <wp:effectExtent l="0" t="0" r="10160" b="16510"/>
            <wp:docPr id="4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5"/>
                    <pic:cNvPicPr>
                      <a:picLocks noChangeAspect="1"/>
                    </pic:cNvPicPr>
                  </pic:nvPicPr>
                  <pic:blipFill>
                    <a:blip r:embed="rId34"/>
                    <a:stretch>
                      <a:fillRect/>
                    </a:stretch>
                  </pic:blipFill>
                  <pic:spPr>
                    <a:xfrm>
                      <a:off x="0" y="0"/>
                      <a:ext cx="8619490" cy="5165090"/>
                    </a:xfrm>
                    <a:prstGeom prst="rect">
                      <a:avLst/>
                    </a:prstGeom>
                    <a:noFill/>
                    <a:ln w="9525">
                      <a:noFill/>
                    </a:ln>
                  </pic:spPr>
                </pic:pic>
              </a:graphicData>
            </a:graphic>
          </wp:inline>
        </w:drawing>
      </w:r>
    </w:p>
    <w:p>
      <w:pPr>
        <w:jc w:val="left"/>
      </w:pPr>
    </w:p>
    <w:p>
      <w:pPr>
        <w:jc w:val="left"/>
      </w:pPr>
    </w:p>
    <w:p>
      <w:r>
        <w:drawing>
          <wp:inline distT="0" distB="0" distL="114300" distR="114300">
            <wp:extent cx="8792210" cy="3769995"/>
            <wp:effectExtent l="0" t="0" r="8890" b="1905"/>
            <wp:docPr id="4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6"/>
                    <pic:cNvPicPr>
                      <a:picLocks noChangeAspect="1"/>
                    </pic:cNvPicPr>
                  </pic:nvPicPr>
                  <pic:blipFill>
                    <a:blip r:embed="rId35"/>
                    <a:stretch>
                      <a:fillRect/>
                    </a:stretch>
                  </pic:blipFill>
                  <pic:spPr>
                    <a:xfrm>
                      <a:off x="0" y="0"/>
                      <a:ext cx="8792210" cy="3769995"/>
                    </a:xfrm>
                    <a:prstGeom prst="rect">
                      <a:avLst/>
                    </a:prstGeom>
                    <a:noFill/>
                    <a:ln w="9525">
                      <a:noFill/>
                    </a:ln>
                  </pic:spPr>
                </pic:pic>
              </a:graphicData>
            </a:graphic>
          </wp:inline>
        </w:drawing>
      </w:r>
      <w:r>
        <w:br w:type="page"/>
      </w:r>
    </w:p>
    <w:p/>
    <w:p>
      <w:r>
        <w:drawing>
          <wp:inline distT="0" distB="0" distL="114300" distR="114300">
            <wp:extent cx="8791575" cy="4199890"/>
            <wp:effectExtent l="0" t="0" r="9525" b="10160"/>
            <wp:docPr id="44"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7"/>
                    <pic:cNvPicPr>
                      <a:picLocks noChangeAspect="1"/>
                    </pic:cNvPicPr>
                  </pic:nvPicPr>
                  <pic:blipFill>
                    <a:blip r:embed="rId36"/>
                    <a:stretch>
                      <a:fillRect/>
                    </a:stretch>
                  </pic:blipFill>
                  <pic:spPr>
                    <a:xfrm>
                      <a:off x="0" y="0"/>
                      <a:ext cx="8791575" cy="4199890"/>
                    </a:xfrm>
                    <a:prstGeom prst="rect">
                      <a:avLst/>
                    </a:prstGeom>
                    <a:noFill/>
                    <a:ln w="9525">
                      <a:noFill/>
                    </a:ln>
                  </pic:spPr>
                </pic:pic>
              </a:graphicData>
            </a:graphic>
          </wp:inline>
        </w:drawing>
      </w:r>
      <w:r>
        <w:br w:type="page"/>
      </w:r>
    </w:p>
    <w:p>
      <w:r>
        <w:drawing>
          <wp:inline distT="0" distB="0" distL="114300" distR="114300">
            <wp:extent cx="8442960" cy="5617845"/>
            <wp:effectExtent l="0" t="0" r="15240" b="1905"/>
            <wp:docPr id="5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9"/>
                    <pic:cNvPicPr>
                      <a:picLocks noChangeAspect="1"/>
                    </pic:cNvPicPr>
                  </pic:nvPicPr>
                  <pic:blipFill>
                    <a:blip r:embed="rId37"/>
                    <a:stretch>
                      <a:fillRect/>
                    </a:stretch>
                  </pic:blipFill>
                  <pic:spPr>
                    <a:xfrm>
                      <a:off x="0" y="0"/>
                      <a:ext cx="8442960" cy="5617845"/>
                    </a:xfrm>
                    <a:prstGeom prst="rect">
                      <a:avLst/>
                    </a:prstGeom>
                    <a:noFill/>
                    <a:ln w="9525">
                      <a:noFill/>
                    </a:ln>
                  </pic:spPr>
                </pic:pic>
              </a:graphicData>
            </a:graphic>
          </wp:inline>
        </w:drawing>
      </w:r>
    </w:p>
    <w:p>
      <w:r>
        <w:br w:type="page"/>
      </w:r>
    </w:p>
    <w:p/>
    <w:p>
      <w:r>
        <w:drawing>
          <wp:inline distT="0" distB="0" distL="114300" distR="114300">
            <wp:extent cx="8792210" cy="4688205"/>
            <wp:effectExtent l="0" t="0" r="8890" b="17145"/>
            <wp:docPr id="55"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10"/>
                    <pic:cNvPicPr>
                      <a:picLocks noChangeAspect="1"/>
                    </pic:cNvPicPr>
                  </pic:nvPicPr>
                  <pic:blipFill>
                    <a:blip r:embed="rId38"/>
                    <a:stretch>
                      <a:fillRect/>
                    </a:stretch>
                  </pic:blipFill>
                  <pic:spPr>
                    <a:xfrm>
                      <a:off x="0" y="0"/>
                      <a:ext cx="8792210" cy="4688205"/>
                    </a:xfrm>
                    <a:prstGeom prst="rect">
                      <a:avLst/>
                    </a:prstGeom>
                    <a:noFill/>
                    <a:ln w="9525">
                      <a:noFill/>
                    </a:ln>
                  </pic:spPr>
                </pic:pic>
              </a:graphicData>
            </a:graphic>
          </wp:inline>
        </w:drawing>
      </w:r>
    </w:p>
    <w:p/>
    <w:p/>
    <w:p>
      <w:r>
        <w:drawing>
          <wp:inline distT="0" distB="0" distL="114300" distR="114300">
            <wp:extent cx="8797290" cy="5161280"/>
            <wp:effectExtent l="0" t="0" r="3810" b="1270"/>
            <wp:docPr id="56"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11"/>
                    <pic:cNvPicPr>
                      <a:picLocks noChangeAspect="1"/>
                    </pic:cNvPicPr>
                  </pic:nvPicPr>
                  <pic:blipFill>
                    <a:blip r:embed="rId39"/>
                    <a:stretch>
                      <a:fillRect/>
                    </a:stretch>
                  </pic:blipFill>
                  <pic:spPr>
                    <a:xfrm>
                      <a:off x="0" y="0"/>
                      <a:ext cx="8797290" cy="5161280"/>
                    </a:xfrm>
                    <a:prstGeom prst="rect">
                      <a:avLst/>
                    </a:prstGeom>
                    <a:noFill/>
                    <a:ln w="9525">
                      <a:noFill/>
                    </a:ln>
                  </pic:spPr>
                </pic:pic>
              </a:graphicData>
            </a:graphic>
          </wp:inline>
        </w:drawing>
      </w:r>
    </w:p>
    <w:p>
      <w:r>
        <w:br w:type="page"/>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16.40</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22"/>
              </w:rPr>
            </w:pPr>
            <w:r>
              <w:rPr>
                <w:rFonts w:hint="eastAsia" w:ascii="宋体" w:hAnsi="宋体" w:eastAsia="宋体" w:cs="宋体"/>
                <w:i w:val="0"/>
                <w:color w:val="000000"/>
                <w:kern w:val="0"/>
                <w:sz w:val="22"/>
                <w:szCs w:val="22"/>
                <w:u w:val="none"/>
                <w:lang w:val="en-US" w:eastAsia="zh-CN" w:bidi="ar"/>
              </w:rPr>
              <w:t>0.00</w:t>
            </w:r>
          </w:p>
        </w:tc>
      </w:tr>
    </w:tbl>
    <w:p>
      <w:pPr>
        <w:ind w:firstLine="2310" w:firstLineChars="1100"/>
        <w:rPr>
          <w:rFonts w:hint="eastAsia" w:ascii="宋体" w:hAnsi="宋体" w:eastAsia="宋体" w:cs="宋体"/>
        </w:rPr>
      </w:pPr>
      <w:r>
        <w:rPr>
          <w:rFonts w:hint="eastAsia" w:ascii="宋体" w:hAnsi="宋体" w:eastAsia="宋体" w:cs="宋体"/>
        </w:rPr>
        <w:t>注：本表反映部门本年度“三公”经费支出预决算情况。其中：预算数为“三公”经费全年预算数，</w:t>
      </w:r>
    </w:p>
    <w:p>
      <w:pPr>
        <w:ind w:firstLine="2310" w:firstLineChars="1100"/>
        <w:rPr>
          <w:rFonts w:hint="eastAsia" w:ascii="宋体" w:hAnsi="宋体" w:eastAsia="宋体" w:cs="宋体"/>
        </w:rPr>
      </w:pPr>
      <w:r>
        <w:rPr>
          <w:rFonts w:hint="eastAsia" w:ascii="宋体" w:hAnsi="宋体" w:eastAsia="宋体" w:cs="宋体"/>
        </w:rPr>
        <w:t>反映按规定程序调整后的预算数；决算数是包括当年一般公共预算财政拨款和以前年度结转资金安</w:t>
      </w:r>
    </w:p>
    <w:p>
      <w:pPr>
        <w:ind w:firstLine="2310" w:firstLineChars="1100"/>
      </w:pPr>
      <w:r>
        <w:rPr>
          <w:rFonts w:hint="eastAsia" w:ascii="宋体" w:hAnsi="宋体" w:eastAsia="宋体" w:cs="宋体"/>
        </w:rPr>
        <w:t>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510" w:type="dxa"/>
            <w:gridSpan w:val="10"/>
            <w:tcBorders>
              <w:top w:val="single" w:color="000000" w:sz="4" w:space="0"/>
              <w:left w:val="nil"/>
              <w:bottom w:val="nil"/>
              <w:right w:val="nil"/>
            </w:tcBorders>
            <w:shd w:val="clear" w:color="auto" w:fill="auto"/>
            <w:tcMar>
              <w:top w:w="15" w:type="dxa"/>
              <w:left w:w="15" w:type="dxa"/>
              <w:right w:w="15" w:type="dxa"/>
            </w:tcMar>
            <w:vAlign w:val="center"/>
          </w:tcPr>
          <w:p>
            <w:pPr>
              <w:jc w:val="both"/>
              <w:rPr>
                <w:rFonts w:ascii="宋体" w:hAnsi="宋体" w:eastAsia="宋体" w:cs="宋体"/>
                <w:color w:val="000000"/>
                <w:sz w:val="22"/>
              </w:rPr>
            </w:pPr>
            <w:r>
              <w:rPr>
                <w:rFonts w:hint="eastAsia" w:eastAsia="宋体"/>
                <w:lang w:eastAsia="zh-CN"/>
              </w:rPr>
              <w:t>注：</w:t>
            </w:r>
            <w:r>
              <w:rPr>
                <w:rFonts w:hint="eastAsia" w:ascii="宋体" w:hAnsi="宋体" w:cs="宋体"/>
                <w:color w:val="000000"/>
                <w:kern w:val="0"/>
                <w:szCs w:val="21"/>
              </w:rPr>
              <w:t>本表反映部门本年度政府性基金预算财政拨款收入、支出及结转和结余情况。 本部门本年度无相关收入（或支出、收支及结转结余等）情况，按要求</w:t>
            </w:r>
            <w:r>
              <w:rPr>
                <w:rFonts w:hint="eastAsia" w:ascii="宋体" w:hAnsi="宋体" w:eastAsia="宋体" w:cs="宋体"/>
                <w:color w:val="000000"/>
                <w:kern w:val="0"/>
                <w:szCs w:val="21"/>
                <w:lang w:eastAsia="zh-CN"/>
              </w:rPr>
              <w:t>以</w:t>
            </w:r>
            <w:r>
              <w:rPr>
                <w:rFonts w:hint="eastAsia" w:ascii="宋体" w:hAnsi="宋体" w:cs="宋体"/>
                <w:color w:val="000000"/>
                <w:kern w:val="0"/>
                <w:szCs w:val="21"/>
              </w:rPr>
              <w:t>空表列示。</w:t>
            </w:r>
          </w:p>
        </w:tc>
      </w:tr>
    </w:tbl>
    <w:p>
      <w:r>
        <w:rPr>
          <w:rFonts w:hint="eastAsia" w:ascii="宋体" w:hAnsi="宋体" w:cs="宋体"/>
          <w:color w:val="000000"/>
          <w:kern w:val="0"/>
          <w:szCs w:val="21"/>
        </w:rPr>
        <w:t xml:space="preserve"> </w:t>
      </w:r>
      <w:r>
        <w:br w:type="page"/>
      </w:r>
    </w:p>
    <w:tbl>
      <w:tblPr>
        <w:tblStyle w:val="6"/>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9915" w:type="dxa"/>
            <w:gridSpan w:val="7"/>
            <w:tcBorders>
              <w:top w:val="single" w:color="000000" w:sz="4" w:space="0"/>
              <w:left w:val="nil"/>
              <w:bottom w:val="nil"/>
              <w:right w:val="nil"/>
            </w:tcBorders>
            <w:shd w:val="clear" w:color="auto" w:fill="auto"/>
            <w:tcMar>
              <w:top w:w="15" w:type="dxa"/>
              <w:left w:w="15" w:type="dxa"/>
              <w:right w:w="15" w:type="dxa"/>
            </w:tcMar>
            <w:vAlign w:val="center"/>
          </w:tcPr>
          <w:p>
            <w:pPr>
              <w:jc w:val="both"/>
              <w:rPr>
                <w:rFonts w:ascii="宋体" w:hAnsi="宋体" w:eastAsia="宋体" w:cs="宋体"/>
                <w:color w:val="000000"/>
                <w:sz w:val="22"/>
              </w:rPr>
            </w:pPr>
            <w:r>
              <w:rPr>
                <w:rFonts w:hint="eastAsia" w:ascii="宋体" w:hAnsi="宋体" w:cs="宋体"/>
                <w:color w:val="000000"/>
                <w:kern w:val="0"/>
                <w:szCs w:val="21"/>
              </w:rPr>
              <w:t>注：本表反映部门本年度政府性基金预算财政拨款收入、支出及结转和结余情况。 本部门本年度无相关收入（或支出、收支及结转结余等）情况，按要求空表</w:t>
            </w:r>
            <w:r>
              <w:rPr>
                <w:rFonts w:hint="eastAsia" w:ascii="宋体" w:hAnsi="宋体" w:eastAsia="宋体" w:cs="宋体"/>
                <w:color w:val="000000"/>
                <w:kern w:val="0"/>
                <w:szCs w:val="21"/>
                <w:lang w:eastAsia="zh-CN"/>
              </w:rPr>
              <w:t>以</w:t>
            </w:r>
            <w:r>
              <w:rPr>
                <w:rFonts w:hint="eastAsia" w:ascii="宋体" w:hAnsi="宋体" w:cs="宋体"/>
                <w:color w:val="000000"/>
                <w:kern w:val="0"/>
                <w:szCs w:val="21"/>
              </w:rPr>
              <w:t>列示。</w:t>
            </w:r>
          </w:p>
        </w:tc>
      </w:tr>
    </w:tbl>
    <w:p>
      <w:r>
        <w:rPr>
          <w:rFonts w:hint="eastAsia" w:ascii="宋体" w:hAnsi="宋体" w:cs="宋体"/>
          <w:color w:val="000000"/>
          <w:kern w:val="0"/>
          <w:szCs w:val="21"/>
        </w:rPr>
        <w:t xml:space="preserve"> </w:t>
      </w:r>
    </w:p>
    <w:sectPr>
      <w:headerReference r:id="rId25" w:type="first"/>
      <w:headerReference r:id="rId24" w:type="default"/>
      <w:footerReference r:id="rId26" w:type="default"/>
      <w:pgSz w:w="16838" w:h="11906" w:orient="landscape"/>
      <w:pgMar w:top="1417" w:right="1701" w:bottom="1417" w:left="1281"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 w:name="MS-UIGothic,Bold">
    <w:altName w:val="Malgun Gothic"/>
    <w:panose1 w:val="00000000000000000000"/>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769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872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7974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076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rPr>
        <w:lang w:val="en-US"/>
      </w:rPr>
    </w:pPr>
    <w:r>
      <mc:AlternateContent>
        <mc:Choice Requires="wps">
          <w:drawing>
            <wp:anchor distT="0" distB="0" distL="114300" distR="114300" simplePos="0" relativeHeight="251683840" behindDoc="0" locked="0" layoutInCell="1" allowOverlap="1">
              <wp:simplePos x="0" y="0"/>
              <wp:positionH relativeFrom="margin">
                <wp:posOffset>4201160</wp:posOffset>
              </wp:positionH>
              <wp:positionV relativeFrom="paragraph">
                <wp:posOffset>-76200</wp:posOffset>
              </wp:positionV>
              <wp:extent cx="356235" cy="300355"/>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356235" cy="30035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330.8pt;margin-top:-6pt;height:23.65pt;width:28.05pt;mso-position-horizontal-relative:margin;z-index:251683840;mso-width-relative:page;mso-height-relative:page;" filled="f" stroked="f" coordsize="21600,21600" o:gfxdata="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BehcgTZAAAACgEAAA8AAAAAAAAAAQAgAAAAIgAAAGRycy9kb3ducmV2Lnht&#10;bFBLAQIUABQAAAAIAIdO4kBZiwGlMQIAAFc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r>
      <w:rPr>
        <w:rFonts w:hint="eastAsia" w:eastAsia="宋体"/>
        <w:lang w:val="en-US" w:eastAsia="zh-CN"/>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3600"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3600;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2576;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6912"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6912;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87936;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4864" behindDoc="0" locked="0" layoutInCell="1" allowOverlap="1">
              <wp:simplePos x="0" y="0"/>
              <wp:positionH relativeFrom="page">
                <wp:posOffset>2052955</wp:posOffset>
              </wp:positionH>
              <wp:positionV relativeFrom="topMargin">
                <wp:posOffset>513080</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161.65pt;margin-top:40.4pt;height:35.25pt;width:594.8pt;mso-position-horizontal-relative:page;mso-position-vertical-relative:page;z-index:251684864;mso-width-relative:page;mso-height-relative:page;" coordorigin="881,505" coordsize="11930,1179" o:gfxdata="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0</wp:posOffset>
              </wp:positionH>
              <wp:positionV relativeFrom="page">
                <wp:posOffset>481965</wp:posOffset>
              </wp:positionV>
              <wp:extent cx="6573520" cy="450850"/>
              <wp:effectExtent l="0" t="0" r="0" b="0"/>
              <wp:wrapNone/>
              <wp:docPr id="46" name="组合 46"/>
              <wp:cNvGraphicFramePr/>
              <a:graphic xmlns:a="http://schemas.openxmlformats.org/drawingml/2006/main">
                <a:graphicData uri="http://schemas.microsoft.com/office/word/2010/wordprocessingGroup">
                  <wpg:wgp>
                    <wpg:cNvGrpSpPr/>
                    <wpg:grpSpPr>
                      <a:xfrm>
                        <a:off x="0" y="0"/>
                        <a:ext cx="6573520" cy="450850"/>
                        <a:chOff x="1337" y="1044"/>
                        <a:chExt cx="5823" cy="710"/>
                      </a:xfrm>
                    </wpg:grpSpPr>
                    <wps:wsp>
                      <wps:cNvPr id="47" name="文本框 6"/>
                      <wps:cNvSpPr txBox="1"/>
                      <wps:spPr>
                        <a:xfrm>
                          <a:off x="4073" y="1113"/>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37.95pt;height:35.5pt;width:517.6pt;mso-position-horizontal-relative:page;mso-position-vertical-relative:page;z-index:251685888;mso-width-relative:page;mso-height-relative:page;" coordorigin="1337,1044" coordsize="5823,710" o:gfxdata="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">
              <o:lock v:ext="edit" aspectratio="f"/>
              <v:shape id="文本框 6" o:spid="_x0000_s1026" o:spt="202" type="#_x0000_t202" style="position:absolute;left:4073;top:1113;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179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179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281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5648"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5648;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667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667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9504"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69504;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8480"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68480;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0528"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0528;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1552"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1552;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365C8D1"/>
    <w:multiLevelType w:val="singleLevel"/>
    <w:tmpl w:val="5365C8D1"/>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RiODYyNzc1NDdiZjZkYmVkZTZlMDJlYzBlNzkyOTQ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025CFA"/>
    <w:rsid w:val="02F53CA1"/>
    <w:rsid w:val="05B00A30"/>
    <w:rsid w:val="08CA1BF6"/>
    <w:rsid w:val="0B011416"/>
    <w:rsid w:val="0BCC0F98"/>
    <w:rsid w:val="0C757D33"/>
    <w:rsid w:val="106E1344"/>
    <w:rsid w:val="127C21F5"/>
    <w:rsid w:val="17BD3D12"/>
    <w:rsid w:val="1A533925"/>
    <w:rsid w:val="1AAB006D"/>
    <w:rsid w:val="1E4A5E4C"/>
    <w:rsid w:val="206725D7"/>
    <w:rsid w:val="2A3117FD"/>
    <w:rsid w:val="2DF46849"/>
    <w:rsid w:val="2FC40503"/>
    <w:rsid w:val="314234A4"/>
    <w:rsid w:val="31C2036A"/>
    <w:rsid w:val="320D02A5"/>
    <w:rsid w:val="329624AD"/>
    <w:rsid w:val="335402AA"/>
    <w:rsid w:val="348E566F"/>
    <w:rsid w:val="379B725A"/>
    <w:rsid w:val="38A55C7E"/>
    <w:rsid w:val="3A226944"/>
    <w:rsid w:val="3AEE6A48"/>
    <w:rsid w:val="3B565A44"/>
    <w:rsid w:val="3B8377D0"/>
    <w:rsid w:val="3C1620AA"/>
    <w:rsid w:val="3CC342ED"/>
    <w:rsid w:val="3D8F080F"/>
    <w:rsid w:val="3EF9677D"/>
    <w:rsid w:val="44CE1FA4"/>
    <w:rsid w:val="463964BC"/>
    <w:rsid w:val="47782974"/>
    <w:rsid w:val="47A01E79"/>
    <w:rsid w:val="487F73ED"/>
    <w:rsid w:val="4A347EAE"/>
    <w:rsid w:val="4AE72BB0"/>
    <w:rsid w:val="4BCD1796"/>
    <w:rsid w:val="4CEA409F"/>
    <w:rsid w:val="51AC0906"/>
    <w:rsid w:val="52600405"/>
    <w:rsid w:val="529B4319"/>
    <w:rsid w:val="534336CA"/>
    <w:rsid w:val="57662300"/>
    <w:rsid w:val="57773DD6"/>
    <w:rsid w:val="578B79AB"/>
    <w:rsid w:val="584215D9"/>
    <w:rsid w:val="5C8B7FAB"/>
    <w:rsid w:val="5CCD3FD5"/>
    <w:rsid w:val="5E222B6E"/>
    <w:rsid w:val="5E9530EF"/>
    <w:rsid w:val="5F307D98"/>
    <w:rsid w:val="610123C0"/>
    <w:rsid w:val="6130296D"/>
    <w:rsid w:val="61FA5F9D"/>
    <w:rsid w:val="63E16F40"/>
    <w:rsid w:val="64CD6910"/>
    <w:rsid w:val="656B62E5"/>
    <w:rsid w:val="65CC651C"/>
    <w:rsid w:val="66B66032"/>
    <w:rsid w:val="6789158D"/>
    <w:rsid w:val="67AD002E"/>
    <w:rsid w:val="67D81BA4"/>
    <w:rsid w:val="680D2ADF"/>
    <w:rsid w:val="69063BFF"/>
    <w:rsid w:val="6AAF1C96"/>
    <w:rsid w:val="6B5716B4"/>
    <w:rsid w:val="6C3E62C1"/>
    <w:rsid w:val="6E4E1603"/>
    <w:rsid w:val="70C77F10"/>
    <w:rsid w:val="75681757"/>
    <w:rsid w:val="75A346A8"/>
    <w:rsid w:val="768C4F9A"/>
    <w:rsid w:val="77F768FD"/>
    <w:rsid w:val="7861152B"/>
    <w:rsid w:val="79B9382C"/>
    <w:rsid w:val="79FA22CD"/>
    <w:rsid w:val="7B043B76"/>
    <w:rsid w:val="7C041A6A"/>
    <w:rsid w:val="7D0E404C"/>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2">
    <w:name w:val="fontstyle21"/>
    <w:basedOn w:val="8"/>
    <w:qFormat/>
    <w:uiPriority w:val="0"/>
    <w:rPr>
      <w:rFonts w:ascii="楷体_GB2312" w:hAnsi="楷体_GB2312" w:eastAsia="楷体_GB2312" w:cs="楷体_GB2312"/>
      <w:color w:val="000000"/>
      <w:sz w:val="24"/>
      <w:szCs w:val="24"/>
    </w:rPr>
  </w:style>
  <w:style w:type="character" w:customStyle="1" w:styleId="13">
    <w:name w:val="fontstyle31"/>
    <w:basedOn w:val="8"/>
    <w:qFormat/>
    <w:uiPriority w:val="0"/>
    <w:rPr>
      <w:rFonts w:ascii="仿宋_GB2312" w:hAnsi="仿宋_GB2312" w:eastAsia="仿宋_GB2312" w:cs="仿宋_GB2312"/>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3" Type="http://schemas.openxmlformats.org/officeDocument/2006/relationships/fontTable" Target="fontTable.xml"/><Relationship Id="rId42" Type="http://schemas.openxmlformats.org/officeDocument/2006/relationships/customXml" Target="../customXml/item2.xml"/><Relationship Id="rId41" Type="http://schemas.openxmlformats.org/officeDocument/2006/relationships/numbering" Target="numbering.xml"/><Relationship Id="rId40" Type="http://schemas.openxmlformats.org/officeDocument/2006/relationships/customXml" Target="../customXml/item1.xml"/><Relationship Id="rId4" Type="http://schemas.openxmlformats.org/officeDocument/2006/relationships/header" Target="header2.xml"/><Relationship Id="rId39" Type="http://schemas.openxmlformats.org/officeDocument/2006/relationships/image" Target="media/image8.emf"/><Relationship Id="rId38" Type="http://schemas.openxmlformats.org/officeDocument/2006/relationships/image" Target="media/image7.emf"/><Relationship Id="rId37" Type="http://schemas.openxmlformats.org/officeDocument/2006/relationships/image" Target="media/image6.emf"/><Relationship Id="rId36" Type="http://schemas.openxmlformats.org/officeDocument/2006/relationships/image" Target="media/image5.emf"/><Relationship Id="rId35" Type="http://schemas.openxmlformats.org/officeDocument/2006/relationships/image" Target="media/image4.emf"/><Relationship Id="rId34" Type="http://schemas.openxmlformats.org/officeDocument/2006/relationships/image" Target="media/image3.emf"/><Relationship Id="rId33" Type="http://schemas.openxmlformats.org/officeDocument/2006/relationships/chart" Target="charts/chart5.xml"/><Relationship Id="rId32" Type="http://schemas.openxmlformats.org/officeDocument/2006/relationships/chart" Target="charts/chart4.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ocuments\tencent%20files\577009016\filerecv\mobilefile\&#20013;&#22269;&#20849;&#20135;&#20826;&#28145;&#27901;&#21439;&#32426;&#24459;&#26816;&#26597;&#22996;&#21592;&#20250;(1).xls" TargetMode="External"/></Relationships>
</file>

<file path=word/charts/_rels/chart2.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1.xml"/><Relationship Id="rId1" Type="http://schemas.openxmlformats.org/officeDocument/2006/relationships/oleObject" Target="file:///C:\Users\Administrator\Desktop\&#32426;&#24459;&#33509;&#24178;&#35268;&#23450;\&#25253;&#34920;\&#26446;&#22992;.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4.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
        <c:rich>
          <a:bodyPr/>
          <a:lstStyle/>
          <a:p>
            <a:pPr>
              <a:defRPr/>
            </a:pPr>
          </a:p>
        </c:rich>
      </c:tx>
    </c:title>
    <c:autoTitleDeleted val="0"/>
    <c:plotArea>
      <c:layout/>
      <c:pieChart>
        <c:varyColors val="1"/>
        <c:ser>
          <c:idx val="0"/>
          <c:order val="0"/>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3">
                  <a:tint val="100000"/>
                  <a:shade val="100000"/>
                  <a:hueMod val="100000"/>
                  <a:satMod val="100000"/>
                </a:schemeClr>
              </a:solidFill>
              <a:ln w="19050">
                <a:solidFill>
                  <a:schemeClr val="lt1"/>
                </a:solidFill>
              </a:ln>
              <a:effectLst/>
            </c:spPr>
          </c:dPt>
          <c:dPt>
            <c:idx val="2"/>
            <c:bubble3D val="0"/>
            <c:spPr>
              <a:solidFill>
                <a:schemeClr val="accent5">
                  <a:tint val="100000"/>
                  <a:shade val="100000"/>
                  <a:hueMod val="100000"/>
                  <a:satMod val="100000"/>
                </a:schemeClr>
              </a:solidFill>
              <a:ln w="19050">
                <a:solidFill>
                  <a:schemeClr val="lt1"/>
                </a:solidFill>
              </a:ln>
              <a:effectLst/>
            </c:spPr>
          </c:dPt>
          <c:dPt>
            <c:idx val="3"/>
            <c:bubble3D val="0"/>
            <c:spPr>
              <a:solidFill>
                <a:schemeClr val="accent1">
                  <a:lumMod val="60000"/>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'[中国共产党深泽县纪律检查委员会(1).xls]Z01 收入支出决算总表(公开01表)'!$J$13:$J$16</c:f>
              <c:strCache>
                <c:ptCount val="4"/>
                <c:pt idx="0">
                  <c:v>财政拨款收入</c:v>
                </c:pt>
                <c:pt idx="1">
                  <c:v>事业收入</c:v>
                </c:pt>
                <c:pt idx="2">
                  <c:v>经营收入</c:v>
                </c:pt>
                <c:pt idx="3">
                  <c:v>其他收入</c:v>
                </c:pt>
              </c:strCache>
            </c:strRef>
          </c:cat>
          <c:val>
            <c:numRef>
              <c:f>'[中国共产党深泽县纪律检查委员会(1).xls]Z01 收入支出决算总表(公开01表)'!$K$13:$K$16</c:f>
              <c:numCache>
                <c:formatCode>#,##0.00</c:formatCode>
                <c:ptCount val="4"/>
                <c:pt idx="0">
                  <c:v>592.42</c:v>
                </c:pt>
                <c:pt idx="1" c:formatCode="General">
                  <c:v>0</c:v>
                </c:pt>
                <c:pt idx="2" c:formatCode="General">
                  <c:v>0</c:v>
                </c:pt>
                <c:pt idx="3" c:formatCode="General">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83611111111111"/>
          <c:y val="0.42349537037037"/>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no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5995630461923"/>
          <c:y val="0.204062139152231"/>
          <c:w val="0.434413378625555"/>
          <c:h val="0.733186328555678"/>
        </c:manualLayout>
      </c:layout>
      <c:pieChart>
        <c:varyColors val="1"/>
        <c:ser>
          <c:idx val="0"/>
          <c:order val="0"/>
          <c:spPr>
            <a:ln w="28575">
              <a:noFill/>
            </a:ln>
          </c:spPr>
          <c:explosion val="0"/>
          <c:dPt>
            <c:idx val="0"/>
            <c:bubble3D val="0"/>
            <c:spPr>
              <a:solidFill>
                <a:srgbClr val="6CB5AC"/>
              </a:solidFill>
              <a:ln w="28575">
                <a:noFill/>
              </a:ln>
              <a:effectLst/>
            </c:spPr>
          </c:dPt>
          <c:dPt>
            <c:idx val="1"/>
            <c:bubble3D val="0"/>
            <c:spPr>
              <a:solidFill>
                <a:srgbClr val="456E84"/>
              </a:solidFill>
              <a:ln w="28575">
                <a:noFill/>
              </a:ln>
              <a:effectLst/>
            </c:spPr>
          </c:dPt>
          <c:dPt>
            <c:idx val="2"/>
            <c:bubble3D val="0"/>
            <c:spPr>
              <a:solidFill>
                <a:srgbClr val="3B4C7A"/>
              </a:solidFill>
              <a:ln w="28575">
                <a:noFill/>
              </a:ln>
              <a:effectLst/>
            </c:spPr>
          </c:dPt>
          <c:dLbls>
            <c:numFmt formatCode="General" sourceLinked="1"/>
            <c:spPr>
              <a:noFill/>
              <a:ln>
                <a:noFill/>
              </a:ln>
              <a:effectLst/>
            </c:spPr>
            <c:txPr>
              <a:bodyPr rot="0" spcFirstLastPara="0" vertOverflow="ellipsis" vert="horz" wrap="square" lIns="38100" tIns="19050" rIns="38100" bIns="19050" anchor="ctr" anchorCtr="1" forceAA="0"/>
              <a:lstStyle/>
              <a:p>
                <a:pPr>
                  <a:defRPr lang="zh-CN" sz="1200" b="1" i="0" u="none" strike="noStrike" kern="1200" baseline="0">
                    <a:solidFill>
                      <a:schemeClr val="bg1">
                        <a:lumMod val="95000"/>
                      </a:schemeClr>
                    </a:solidFill>
                    <a:latin typeface="华文中宋" panose="02010600040101010101" charset="-122"/>
                    <a:ea typeface="华文中宋" panose="02010600040101010101" charset="-122"/>
                    <a:cs typeface="华文中宋" panose="02010600040101010101" charset="-122"/>
                    <a:sym typeface="华文中宋" panose="02010600040101010101" charset="-122"/>
                  </a:defRPr>
                </a:pPr>
              </a:p>
            </c:txPr>
            <c:dLblPos val="bestFit"/>
            <c:showLegendKey val="0"/>
            <c:showVal val="0"/>
            <c:showCatName val="0"/>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'[李姐.XLS]Z04 支出决算表(公开03表)'!$M$1:$M$3</c:f>
              <c:strCache>
                <c:ptCount val="3"/>
                <c:pt idx="0">
                  <c:v>基本支出</c:v>
                </c:pt>
                <c:pt idx="1">
                  <c:v>项目支出</c:v>
                </c:pt>
                <c:pt idx="2">
                  <c:v>经营支出</c:v>
                </c:pt>
              </c:strCache>
            </c:strRef>
          </c:cat>
          <c:val>
            <c:numRef>
              <c:f>'[李姐.XLS]Z04 支出决算表(公开03表)'!$N$1:$N$3</c:f>
              <c:numCache>
                <c:formatCode>General</c:formatCode>
                <c:ptCount val="3"/>
                <c:pt idx="0">
                  <c:v>592.42</c:v>
                </c:pt>
                <c:pt idx="1">
                  <c:v>0</c:v>
                </c:pt>
                <c:pt idx="2">
                  <c:v>0</c:v>
                </c:pt>
              </c:numCache>
            </c:numRef>
          </c:val>
        </c:ser>
        <c:dLbls>
          <c:showLegendKey val="0"/>
          <c:showVal val="1"/>
          <c:showCatName val="0"/>
          <c:showSerName val="0"/>
          <c:showPercent val="0"/>
          <c:showBubbleSize val="0"/>
          <c:showLeaderLines val="0"/>
        </c:dLbls>
        <c:firstSliceAng val="0"/>
      </c:pieChart>
      <c:spPr>
        <a:noFill/>
        <a:ln>
          <a:noFill/>
        </a:ln>
        <a:effectLst/>
      </c:spPr>
    </c:plotArea>
    <c:legend>
      <c:legendPos val="l"/>
      <c:legendEntry>
        <c:idx val="0"/>
        <c:txPr>
          <a:bodyPr rot="0" spcFirstLastPara="0" vertOverflow="ellipsis" vert="horz" wrap="square" anchor="ctr" anchorCtr="1" forceAA="0"/>
          <a:lstStyle/>
          <a:p>
            <a:pPr>
              <a:defRPr lang="zh-CN" sz="900" b="0" i="0" u="none" strike="noStrike" kern="1200" baseline="0">
                <a:solidFill>
                  <a:schemeClr val="tx1">
                    <a:lumMod val="75000"/>
                    <a:lumOff val="25000"/>
                  </a:schemeClr>
                </a:solidFill>
                <a:latin typeface="+mn-lt"/>
                <a:ea typeface="+mn-ea"/>
                <a:cs typeface="+mn-cs"/>
              </a:defRPr>
            </a:pPr>
          </a:p>
        </c:txPr>
      </c:legendEntry>
      <c:legendEntry>
        <c:idx val="1"/>
        <c:txPr>
          <a:bodyPr rot="0" spcFirstLastPara="0" vertOverflow="ellipsis" vert="horz" wrap="square" anchor="ctr" anchorCtr="1" forceAA="0"/>
          <a:lstStyle/>
          <a:p>
            <a:pPr>
              <a:defRPr lang="zh-CN" sz="900" b="0" i="0" u="none" strike="noStrike" kern="1200" baseline="0">
                <a:solidFill>
                  <a:schemeClr val="tx1">
                    <a:lumMod val="75000"/>
                    <a:lumOff val="25000"/>
                  </a:schemeClr>
                </a:solidFill>
                <a:latin typeface="+mn-lt"/>
                <a:ea typeface="+mn-ea"/>
                <a:cs typeface="+mn-cs"/>
              </a:defRPr>
            </a:pPr>
          </a:p>
        </c:txPr>
      </c:legendEntry>
      <c:legendEntry>
        <c:idx val="2"/>
        <c:txPr>
          <a:bodyPr rot="0" spcFirstLastPara="0" vertOverflow="ellipsis" vert="horz" wrap="square" anchor="ctr" anchorCtr="1" forceAA="0"/>
          <a:lstStyle/>
          <a:p>
            <a:pPr>
              <a:defRPr lang="zh-CN" sz="900" b="0" i="0" u="none" strike="noStrike" kern="1200" baseline="0">
                <a:solidFill>
                  <a:schemeClr val="tx1">
                    <a:lumMod val="75000"/>
                    <a:lumOff val="25000"/>
                  </a:schemeClr>
                </a:solidFill>
                <a:latin typeface="+mn-lt"/>
                <a:ea typeface="+mn-ea"/>
                <a:cs typeface="+mn-cs"/>
              </a:defRPr>
            </a:pPr>
          </a:p>
        </c:txPr>
      </c:legendEntry>
      <c:layout>
        <c:manualLayout>
          <c:xMode val="edge"/>
          <c:yMode val="edge"/>
          <c:x val="0.80875"/>
          <c:y val="0.443981481481481"/>
        </c:manualLayout>
      </c:layout>
      <c:overlay val="0"/>
      <c:spPr>
        <a:noFill/>
        <a:ln>
          <a:noFill/>
        </a:ln>
        <a:effectLst/>
      </c:spPr>
      <c:txPr>
        <a:bodyPr rot="0" spcFirstLastPara="0" vertOverflow="ellipsis" vert="horz" wrap="square" anchor="ctr" anchorCtr="1" forceAA="0"/>
        <a:lstStyle/>
        <a:p>
          <a:pPr>
            <a:defRPr lang="zh-CN" sz="900" b="0" i="0" u="none" strike="noStrike" kern="1200" baseline="0">
              <a:solidFill>
                <a:schemeClr val="tx1">
                  <a:lumMod val="75000"/>
                  <a:lumOff val="25000"/>
                </a:schemeClr>
              </a:solidFill>
              <a:latin typeface="+mn-lt"/>
              <a:ea typeface="+mn-ea"/>
              <a:cs typeface="+mn-cs"/>
            </a:defRPr>
          </a:pPr>
        </a:p>
      </c:txPr>
    </c:legend>
    <c:plotVisOnly val="1"/>
    <c:dispBlanksAs val="gap"/>
    <c:showDLblsOverMax val="0"/>
  </c:chart>
  <c:spPr>
    <a:solidFill>
      <a:schemeClr val="bg1">
        <a:lumMod val="95000"/>
      </a:schemeClr>
    </a:solidFill>
    <a:ln w="9525" cap="flat" cmpd="sng" algn="ctr">
      <a:noFill/>
      <a:round/>
    </a:ln>
    <a:effectLst/>
  </c:spPr>
  <c:txPr>
    <a:bodyPr/>
    <a:lstStyle/>
    <a:p>
      <a:pPr>
        <a:defRPr lang="zh-CN">
          <a:solidFill>
            <a:schemeClr val="tx1">
              <a:lumMod val="75000"/>
              <a:lumOff val="25000"/>
            </a:schemeClr>
          </a:solidFill>
        </a:defRPr>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2019年度收入</c:v>
                </c:pt>
                <c:pt idx="1">
                  <c:v>2018年度收入</c:v>
                </c:pt>
                <c:pt idx="2">
                  <c:v>2019年度支出</c:v>
                </c:pt>
                <c:pt idx="3">
                  <c:v>2018年度支出</c:v>
                </c:pt>
              </c:strCache>
            </c:strRef>
          </c:cat>
          <c:val>
            <c:numRef>
              <c:f>Sheet1!$B$2:$B$5</c:f>
              <c:numCache>
                <c:formatCode>General</c:formatCode>
                <c:ptCount val="4"/>
                <c:pt idx="0">
                  <c:v>799.76</c:v>
                </c:pt>
                <c:pt idx="1">
                  <c:v>592.42</c:v>
                </c:pt>
                <c:pt idx="2">
                  <c:v>799.76</c:v>
                </c:pt>
                <c:pt idx="3">
                  <c:v>592.42</c:v>
                </c:pt>
              </c:numCache>
            </c:numRef>
          </c:val>
        </c:ser>
        <c:dLbls>
          <c:showLegendKey val="0"/>
          <c:showVal val="1"/>
          <c:showCatName val="0"/>
          <c:showSerName val="0"/>
          <c:showPercent val="0"/>
          <c:showBubbleSize val="0"/>
        </c:dLbls>
        <c:gapWidth val="219"/>
        <c:overlap val="-27"/>
        <c:axId val="674188098"/>
        <c:axId val="113564513"/>
      </c:barChart>
      <c:catAx>
        <c:axId val="67418809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564513"/>
        <c:crosses val="autoZero"/>
        <c:auto val="1"/>
        <c:lblAlgn val="ctr"/>
        <c:lblOffset val="100"/>
        <c:noMultiLvlLbl val="0"/>
      </c:catAx>
      <c:valAx>
        <c:axId val="11356451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418809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0910756872097402"/>
          <c:y val="0.0953266682166938"/>
          <c:w val="0.905158779967365"/>
          <c:h val="0.836875145315043"/>
        </c:manualLayout>
      </c:layout>
      <c:barChart>
        <c:barDir val="col"/>
        <c:grouping val="clustered"/>
        <c:varyColors val="0"/>
        <c:ser>
          <c:idx val="0"/>
          <c:order val="0"/>
          <c:tx>
            <c:strRef>
              <c:f>Sheet1!$B$1</c:f>
              <c:strCache>
                <c:ptCount val="1"/>
                <c:pt idx="0">
                  <c:v>系列 1</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2019年度收入预算数</c:v>
                </c:pt>
                <c:pt idx="1">
                  <c:v>2018年度收入决算数</c:v>
                </c:pt>
                <c:pt idx="2">
                  <c:v>2019年度支出预算数</c:v>
                </c:pt>
                <c:pt idx="3">
                  <c:v>2018年度支出决算数</c:v>
                </c:pt>
              </c:strCache>
            </c:strRef>
          </c:cat>
          <c:val>
            <c:numRef>
              <c:f>Sheet1!$B$2:$B$5</c:f>
              <c:numCache>
                <c:formatCode>General</c:formatCode>
                <c:ptCount val="4"/>
                <c:pt idx="0">
                  <c:v>822.76</c:v>
                </c:pt>
                <c:pt idx="1">
                  <c:v>799.76</c:v>
                </c:pt>
                <c:pt idx="2">
                  <c:v>822.76</c:v>
                </c:pt>
                <c:pt idx="3">
                  <c:v>799.76</c:v>
                </c:pt>
              </c:numCache>
            </c:numRef>
          </c:val>
        </c:ser>
        <c:dLbls>
          <c:showLegendKey val="0"/>
          <c:showVal val="1"/>
          <c:showCatName val="0"/>
          <c:showSerName val="0"/>
          <c:showPercent val="0"/>
          <c:showBubbleSize val="0"/>
        </c:dLbls>
        <c:gapWidth val="219"/>
        <c:overlap val="-27"/>
        <c:axId val="674188098"/>
        <c:axId val="113564513"/>
      </c:barChart>
      <c:catAx>
        <c:axId val="67418809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13564513"/>
        <c:crosses val="autoZero"/>
        <c:auto val="1"/>
        <c:lblAlgn val="ctr"/>
        <c:lblOffset val="100"/>
        <c:noMultiLvlLbl val="0"/>
      </c:catAx>
      <c:valAx>
        <c:axId val="11356451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7418809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p>
          <a:p>
            <a:pPr defTabSz="914400">
              <a:defRPr lang="zh-CN" sz="1400" b="0" i="0" u="none" strike="noStrike" kern="1200" spc="0" baseline="0">
                <a:solidFill>
                  <a:schemeClr val="tx1">
                    <a:lumMod val="65000"/>
                    <a:lumOff val="35000"/>
                  </a:schemeClr>
                </a:solidFill>
                <a:latin typeface="+mn-lt"/>
                <a:ea typeface="+mn-ea"/>
                <a:cs typeface="+mn-cs"/>
              </a:defRPr>
            </a:pPr>
          </a:p>
        </c:rich>
      </c:tx>
      <c:layout>
        <c:manualLayout>
          <c:xMode val="edge"/>
          <c:yMode val="edge"/>
          <c:x val="0.179851598173516"/>
          <c:y val="0.0309597523219814"/>
        </c:manualLayout>
      </c:layout>
      <c:overlay val="0"/>
      <c:spPr>
        <a:noFill/>
        <a:ln>
          <a:noFill/>
        </a:ln>
        <a:effectLst/>
      </c:spPr>
    </c:title>
    <c:autoTitleDeleted val="0"/>
    <c:plotArea>
      <c:layout/>
      <c:pieChart>
        <c:varyColors val="1"/>
        <c:ser>
          <c:idx val="0"/>
          <c:order val="0"/>
          <c:tx>
            <c:strRef>
              <c:f>Sheet1!$B$1</c:f>
              <c:strCache>
                <c:ptCount val="1"/>
                <c:pt idx="0">
                  <c:v>图5：财政拨款支出决算结构（按功能分类）
</c:v>
                </c:pt>
              </c:strCache>
            </c:strRef>
          </c:tx>
          <c:spPr/>
          <c:explosion val="0"/>
          <c:dPt>
            <c:idx val="0"/>
            <c:bubble3D val="0"/>
            <c:spPr>
              <a:solidFill>
                <a:schemeClr val="accent1">
                  <a:tint val="100000"/>
                  <a:shade val="100000"/>
                  <a:hueMod val="100000"/>
                  <a:satMod val="100000"/>
                </a:schemeClr>
              </a:solidFill>
              <a:ln w="19050">
                <a:solidFill>
                  <a:schemeClr val="lt1"/>
                </a:solidFill>
              </a:ln>
              <a:effectLst/>
            </c:spPr>
          </c:dPt>
          <c:dPt>
            <c:idx val="1"/>
            <c:bubble3D val="0"/>
            <c:spPr>
              <a:solidFill>
                <a:schemeClr val="accent2">
                  <a:tint val="100000"/>
                  <a:shade val="100000"/>
                  <a:hueMod val="100000"/>
                  <a:satMod val="100000"/>
                </a:schemeClr>
              </a:solidFill>
              <a:ln w="19050">
                <a:solidFill>
                  <a:schemeClr val="lt1"/>
                </a:solidFill>
              </a:ln>
              <a:effectLst/>
            </c:spPr>
          </c:dPt>
          <c:dPt>
            <c:idx val="2"/>
            <c:bubble3D val="0"/>
            <c:spPr>
              <a:solidFill>
                <a:schemeClr val="accent3">
                  <a:tint val="100000"/>
                  <a:shade val="100000"/>
                  <a:hueMod val="100000"/>
                  <a:satMod val="100000"/>
                </a:schemeClr>
              </a:solidFill>
              <a:ln w="19050">
                <a:solidFill>
                  <a:schemeClr val="lt1"/>
                </a:solidFill>
              </a:ln>
              <a:effectLst/>
            </c:spPr>
          </c:dPt>
          <c:dPt>
            <c:idx val="3"/>
            <c:bubble3D val="0"/>
            <c:spPr>
              <a:solidFill>
                <a:schemeClr val="accent4">
                  <a:tint val="100000"/>
                  <a:shade val="100000"/>
                  <a:hueMod val="100000"/>
                  <a:satMod val="100000"/>
                </a:schemeClr>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一般公共服务（类）支出</c:v>
                </c:pt>
                <c:pt idx="1">
                  <c:v>卫生健康（类）支出</c:v>
                </c:pt>
                <c:pt idx="2">
                  <c:v>社会保障和就业（类）支出</c:v>
                </c:pt>
                <c:pt idx="3">
                  <c:v>住房保障（类）支出</c:v>
                </c:pt>
              </c:strCache>
            </c:strRef>
          </c:cat>
          <c:val>
            <c:numRef>
              <c:f>Sheet1!$B$2:$B$5</c:f>
              <c:numCache>
                <c:formatCode>0.0%</c:formatCode>
                <c:ptCount val="4"/>
                <c:pt idx="0">
                  <c:v>0.84</c:v>
                </c:pt>
                <c:pt idx="1">
                  <c:v>0.03</c:v>
                </c:pt>
                <c:pt idx="2">
                  <c:v>0.08</c:v>
                </c:pt>
                <c:pt idx="3">
                  <c:v>0.05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4658</Words>
  <Characters>5011</Characters>
  <Lines>78</Lines>
  <Paragraphs>22</Paragraphs>
  <TotalTime>6</TotalTime>
  <ScaleCrop>false</ScaleCrop>
  <LinksUpToDate>false</LinksUpToDate>
  <CharactersWithSpaces>5058</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admin2</cp:lastModifiedBy>
  <cp:lastPrinted>2020-09-18T02:32:00Z</cp:lastPrinted>
  <dcterms:modified xsi:type="dcterms:W3CDTF">2023-02-27T05:57:30Z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1D0AE85761774CA2B25B54F5313C0030</vt:lpwstr>
  </property>
</Properties>
</file>