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中国共产党深泽县纪律检查委员会</w:t>
      </w:r>
    </w:p>
    <w:p>
      <w:pPr>
        <w:adjustRightInd w:val="0"/>
        <w:snapToGrid w:val="0"/>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2021年部门预算信息公开情况说明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按照《预算法》、《地方预决算公开操作规程》和《深泽县县级预算公开办法》规定，现将中国共产党深泽县纪律检查委员会2021年部门预算公开如下：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2021年，全面贯彻党的十九届四中全会精神和习近平总书记系列重要讲话精神，县纪委监委在市纪委监委和县委县政府的领导下，紧紧围绕年初纪委全会目标任务，突出主责主业，深化“三转”工作，从严监督执纪问责，扎实推进党风廉政建设和反腐败各项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（一）严肃党内政治生活，加强党内监督；</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（二）坚守责任担当，严格问责追究，倒逼全面从严治党主体责任落实到位；</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（三）坚持从严执纪、从严问责，</w:t>
      </w:r>
      <w:r>
        <w:rPr>
          <w:rFonts w:hint="eastAsia" w:ascii="Times New Roman" w:hAnsi="Times New Roman" w:eastAsia="仿宋" w:cs="Times New Roman"/>
          <w:sz w:val="32"/>
          <w:szCs w:val="32"/>
          <w:lang w:val="en-US" w:eastAsia="zh-CN"/>
        </w:rPr>
        <w:t>驰</w:t>
      </w:r>
      <w:r>
        <w:rPr>
          <w:rFonts w:hint="eastAsia" w:ascii="Times New Roman" w:hAnsi="Times New Roman" w:eastAsia="仿宋" w:cs="Times New Roman"/>
          <w:sz w:val="32"/>
          <w:szCs w:val="32"/>
        </w:rPr>
        <w:t>而不息纠正“四风”；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（四）以宣传教育为先导，干部廉洁自律意识不断增强；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（五）坚持抓早抓小、源头预防，不断加大纪律审查力度。</w:t>
      </w:r>
    </w:p>
    <w:p>
      <w:pPr>
        <w:ind w:firstLine="643" w:firstLineChars="200"/>
        <w:rPr>
          <w:rFonts w:ascii="仿宋" w:hAnsi="仿宋" w:eastAsia="仿宋" w:cs="Times New Roman"/>
          <w:b/>
          <w:sz w:val="32"/>
          <w:szCs w:val="32"/>
        </w:rPr>
      </w:pPr>
      <w:bookmarkStart w:id="2" w:name="_GoBack"/>
      <w:bookmarkEnd w:id="2"/>
    </w:p>
    <w:p>
      <w:pPr>
        <w:ind w:firstLine="643" w:firstLineChars="200"/>
        <w:rPr>
          <w:rFonts w:ascii="仿宋" w:hAnsi="仿宋" w:eastAsia="仿宋" w:cs="Times New Roman"/>
          <w:b/>
          <w:sz w:val="32"/>
          <w:szCs w:val="32"/>
        </w:rPr>
      </w:pPr>
    </w:p>
    <w:p>
      <w:pPr>
        <w:ind w:firstLine="643" w:firstLineChars="200"/>
        <w:rPr>
          <w:rFonts w:ascii="仿宋" w:hAnsi="仿宋" w:eastAsia="仿宋" w:cs="Times New Roman"/>
          <w:b/>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部门机构设置情况</w:t>
      </w:r>
    </w:p>
    <w:tbl>
      <w:tblPr>
        <w:tblStyle w:val="7"/>
        <w:tblW w:w="9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08"/>
        <w:gridCol w:w="1134"/>
        <w:gridCol w:w="1558"/>
        <w:gridCol w:w="26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508" w:type="dxa"/>
            <w:vMerge w:val="restart"/>
            <w:vAlign w:val="center"/>
          </w:tcPr>
          <w:p>
            <w:pPr>
              <w:spacing w:line="300" w:lineRule="exact"/>
              <w:jc w:val="center"/>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单位名称</w:t>
            </w:r>
          </w:p>
        </w:tc>
        <w:tc>
          <w:tcPr>
            <w:tcW w:w="1134" w:type="dxa"/>
            <w:vMerge w:val="restart"/>
            <w:vAlign w:val="center"/>
          </w:tcPr>
          <w:p>
            <w:pPr>
              <w:spacing w:line="300" w:lineRule="exact"/>
              <w:jc w:val="center"/>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单位性质</w:t>
            </w:r>
          </w:p>
        </w:tc>
        <w:tc>
          <w:tcPr>
            <w:tcW w:w="1558" w:type="dxa"/>
            <w:vMerge w:val="restart"/>
            <w:vAlign w:val="center"/>
          </w:tcPr>
          <w:p>
            <w:pPr>
              <w:spacing w:line="300" w:lineRule="exact"/>
              <w:jc w:val="center"/>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单位规格</w:t>
            </w:r>
          </w:p>
        </w:tc>
        <w:tc>
          <w:tcPr>
            <w:tcW w:w="2620" w:type="dxa"/>
            <w:vMerge w:val="restart"/>
            <w:vAlign w:val="center"/>
          </w:tcPr>
          <w:p>
            <w:pPr>
              <w:spacing w:line="300" w:lineRule="exact"/>
              <w:jc w:val="center"/>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tblHeader/>
          <w:jc w:val="center"/>
        </w:trPr>
        <w:tc>
          <w:tcPr>
            <w:tcW w:w="4508"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558" w:type="dxa"/>
            <w:vMerge w:val="continue"/>
            <w:vAlign w:val="center"/>
          </w:tcPr>
          <w:p>
            <w:pPr>
              <w:spacing w:line="300" w:lineRule="exact"/>
              <w:jc w:val="left"/>
              <w:outlineLvl w:val="0"/>
              <w:rPr>
                <w:rFonts w:ascii="Times New Roman" w:hAnsi="Times New Roman" w:cs="Times New Roman"/>
                <w:szCs w:val="24"/>
              </w:rPr>
            </w:pPr>
          </w:p>
        </w:tc>
        <w:tc>
          <w:tcPr>
            <w:tcW w:w="2620"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508" w:type="dxa"/>
            <w:vAlign w:val="center"/>
          </w:tcPr>
          <w:p>
            <w:pPr>
              <w:spacing w:line="300" w:lineRule="exact"/>
              <w:jc w:val="center"/>
              <w:rPr>
                <w:rFonts w:ascii="Times New Roman" w:hAnsi="Times New Roman" w:eastAsia="方正书宋_GBK" w:cs="Times New Roman"/>
                <w:szCs w:val="24"/>
              </w:rPr>
            </w:pPr>
            <w:r>
              <w:rPr>
                <w:rFonts w:hint="eastAsia" w:ascii="宋体" w:hAnsi="宋体"/>
                <w:b/>
                <w:sz w:val="28"/>
                <w:szCs w:val="28"/>
              </w:rPr>
              <w:t>中国共产党深泽县纪律检查委员会</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宋体" w:hAnsi="宋体"/>
                <w:b/>
                <w:sz w:val="28"/>
                <w:szCs w:val="28"/>
              </w:rPr>
              <w:t>行政</w:t>
            </w:r>
          </w:p>
        </w:tc>
        <w:tc>
          <w:tcPr>
            <w:tcW w:w="1558" w:type="dxa"/>
            <w:vAlign w:val="center"/>
          </w:tcPr>
          <w:p>
            <w:pPr>
              <w:spacing w:line="300" w:lineRule="exact"/>
              <w:jc w:val="center"/>
              <w:rPr>
                <w:rFonts w:ascii="Times New Roman" w:hAnsi="Times New Roman" w:eastAsia="方正书宋_GBK" w:cs="Times New Roman"/>
                <w:szCs w:val="24"/>
              </w:rPr>
            </w:pPr>
            <w:r>
              <w:rPr>
                <w:rFonts w:hint="eastAsia" w:ascii="宋体" w:hAnsi="宋体"/>
                <w:b/>
                <w:sz w:val="28"/>
                <w:szCs w:val="28"/>
              </w:rPr>
              <w:t>副处级</w:t>
            </w:r>
          </w:p>
        </w:tc>
        <w:tc>
          <w:tcPr>
            <w:tcW w:w="2620" w:type="dxa"/>
            <w:vAlign w:val="center"/>
          </w:tcPr>
          <w:p>
            <w:pPr>
              <w:spacing w:line="300" w:lineRule="exact"/>
              <w:jc w:val="center"/>
              <w:rPr>
                <w:rFonts w:ascii="Times New Roman" w:hAnsi="Times New Roman" w:eastAsia="方正书宋_GBK" w:cs="Times New Roman"/>
                <w:szCs w:val="24"/>
              </w:rPr>
            </w:pPr>
            <w:r>
              <w:rPr>
                <w:rFonts w:hint="eastAsia" w:ascii="宋体" w:hAnsi="宋体"/>
                <w:b/>
                <w:sz w:val="28"/>
                <w:szCs w:val="28"/>
              </w:rPr>
              <w:t>财政拨款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rPr>
        <w:t>中国共产党深泽县纪律检查委员会</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反映本部门当年全部收入。2021年预算收入1123.16万元，其中：一般公共预算收入1123.16万元，基金预算收入0万元，财政专户核拨收入0万元，其他来源收入0万元。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国共产党深泽县纪律检查委员会年度部门预算中支出预算的总体情况。2021年部门支出预算为1123.16万元，其中基本支出1018.74万元，包括人员经费813.77万元和日常公用经费204.97万元；项目支出104.42万元，主要为巡察巡视工作，市统筹巡察经费43.8万元抽调人员差旅费6.51万元，第六轮村级巡察1.91万元，市督导指导28.76万元，巡察办公经费15万元，车辆租赁4.04万元，机关服务支出4.4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2021年部门预算收支安排</w:t>
      </w:r>
      <w:r>
        <w:rPr>
          <w:rFonts w:hint="eastAsia" w:ascii="Times New Roman" w:hAnsi="Times New Roman" w:eastAsia="仿宋" w:cs="Times New Roman"/>
          <w:sz w:val="32"/>
          <w:szCs w:val="32"/>
        </w:rPr>
        <w:t>1123.16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较2020年增加16.76万元，其中：基本支出减少5.66万元，主要是厉行节约，减少开支，相应减少人员经费和日常公用经费；项目支出增加22.42万元，主要是机构改革；其他支出无增减变化。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机关运行经费共计安排204.97万元，主要用于保证机关正常运转的办公费、印刷费、水费、电费、取暖费、差旅费、维修（护）费、公车运行维护费、其他交通费用、其它商品服务支出、办公设备购置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财政拨款“三公”经费预算安排20万元，其中：因公出国（境）费0万元，与上年一致，无增减变化；公务用车购置0万元，比上年减少12万元，主要是因为今年没有安排购车；公务用车运行维护费20万元，与上年一致，无增减变化；公务接待费0万元，与上年一致，无增减变化。</w:t>
      </w:r>
    </w:p>
    <w:p>
      <w:pPr>
        <w:numPr>
          <w:ilvl w:val="0"/>
          <w:numId w:val="1"/>
        </w:num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预算绩效信息</w:t>
      </w:r>
      <w:bookmarkStart w:id="0" w:name="_Toc471398463"/>
    </w:p>
    <w:p>
      <w:pPr>
        <w:autoSpaceDE w:val="0"/>
        <w:autoSpaceDN w:val="0"/>
        <w:adjustRightInd w:val="0"/>
        <w:ind w:firstLine="964" w:firstLineChars="300"/>
        <w:jc w:val="left"/>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第一部分  部门整体绩效目标</w:t>
      </w:r>
    </w:p>
    <w:p>
      <w:pPr>
        <w:autoSpaceDE w:val="0"/>
        <w:autoSpaceDN w:val="0"/>
        <w:adjustRightInd w:val="0"/>
        <w:ind w:left="198" w:firstLine="643" w:firstLineChars="200"/>
        <w:jc w:val="left"/>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（一）总体绩效目标</w:t>
      </w:r>
    </w:p>
    <w:p>
      <w:pPr>
        <w:autoSpaceDE w:val="0"/>
        <w:autoSpaceDN w:val="0"/>
        <w:adjustRightInd w:val="0"/>
        <w:ind w:left="198" w:firstLine="960" w:firstLineChars="3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一、完善纪检监察建设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贯彻落实党的十九届四中全会精神，加强对纪委监委干部的教育培训工作，建设一支忠诚、干净、担当的高素质干部队伍。始终把政治教育摆在首位，通过加强党章党规党纪教育、开展法律法规教育、学习思想政治工作方法等，使干部熟悉有关法律法规、纪检监察业务和党规党纪，实现干部思想、政治、组织、作风建设全面提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二、巡察工作谋划</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县委巡察办将按照市委巡察办要求开展巡察工作。开展梯级巡察，并安排巡察组对上年巡察过的单位巡察整改落实情况开展“回头看”。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三、严格落实“两个责任”</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狠抓“两个责任”落实。将进一步加大力度，确保多项工作举措的落实。督促主体办落实各级党委对照主体责任清单开展自查自纠，进一步细化、具体到岗到人，形成领导班子及领导干部主体责任清单。进一步完善责任追究领导机制，把有关领导干部履行党风廉政建设责任制情况列入纪律审查方案，按照“谁审查、谁负责”的原则开展“一案双查”，实行党风廉政建设责任制约谈制度，严格责任追究，定期公布责任追究情况及典型案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四、聚焦“四风”问题，强化监督检查</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持之以恒纠四风。结合市“效能革命”活动要求以及根据市纪委暗访工作方案，把行之有效的方式方法进行细化和规范，形成常态化的工作模式在抓“常”和“长”上下功夫，逐步建立长效机制。紧盯重要节点和关键时段，进行持续不断的明察暗访，对发现的问题点名道姓曝光。综合运用明察暗访、专项检查、电子监察、责任追究等手段，逐步建立作风建设长效机制。</w:t>
      </w:r>
    </w:p>
    <w:p>
      <w:pPr>
        <w:autoSpaceDE w:val="0"/>
        <w:autoSpaceDN w:val="0"/>
        <w:adjustRightInd w:val="0"/>
        <w:ind w:firstLine="643" w:firstLineChars="200"/>
        <w:jc w:val="left"/>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（二）分项绩效目标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1、办案问责工作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维护党纪国法尊严，坚决惩处腐败分子，有效遏制腐败现象。受理信访、举报，集中管理问题线索、组织协调案件查办，调查、审查违纪违法案件，对案件审理提出处理意见。对有关对象违反党纪政纪和违纪违法行为进行处理；组织协调案件查办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绩效指标：案件查办率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2、党风廉政建设工作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绩效目标：积极发挥职能作用，加强党风廉政建设，营造风清气正、干事创业的工作氛围。组织协调全县党风廉政建设和反腐败宣传、教育、课题研究等工作，开展对党员、公务员的廉洁自律教育。</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绩效指标：教育活动完成率</w:t>
      </w:r>
    </w:p>
    <w:p>
      <w:pPr>
        <w:numPr>
          <w:ilvl w:val="0"/>
          <w:numId w:val="2"/>
        </w:num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监督检查工作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绩效目标：加大问责力度，促进“两个责任”有效落实，监督检查党内法规政策、国家法律法规、党风廉政建设等的执行情况，贯彻落实县委有关部署，开展常态化全覆盖监督。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绩效指标：监督检查工作完成率</w:t>
      </w:r>
    </w:p>
    <w:p>
      <w:pPr>
        <w:numPr>
          <w:ilvl w:val="0"/>
          <w:numId w:val="2"/>
        </w:num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纪检事务管理工作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为案件查办、纪检监察业务、党风廉政建设提高服务和保障。纪检政策宣传，办公场所运行维护。宣传党的纪检工作方针、政策，教育纪检干部遵守和执行党章以及党内法规、党的路线方针政策和决议、国家法规等，全面提高纪检监察干部队伍素质，负责办公场所运行维护。</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绩效指标：综合事务保障率</w:t>
      </w:r>
    </w:p>
    <w:p>
      <w:pPr>
        <w:autoSpaceDE w:val="0"/>
        <w:autoSpaceDN w:val="0"/>
        <w:adjustRightInd w:val="0"/>
        <w:ind w:firstLine="643" w:firstLineChars="200"/>
        <w:jc w:val="left"/>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（三）工作保障措施</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1、严肃党内政治生活，严明政治纪律和政治规矩，全面净化党内政治生态。围绕县委县政府重大决策部署，加强监督检查，严肃查处违反政治纪律规矩的行为，强化问责问效，确保政令畅通。</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2、加强对权利的监督制约和重点领域机制制度创新，加强对干部的监督管理。</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3、坚持以纠促建，加大作风整顿力度，采取明察暗访的形式，围绕单位工作纪律及党员干部不良风气进行监督检查，进一步转变干部工作作风，推进机关效能建设。</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4、坚定不移惩治腐败，突出办案重点，健全办案机制，扩大办案效果，完善办案场所，加强办案安全。</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5、坚决纠正损害群众利益的不正之风，深入推进农村基层党风廉政建设，切实解决反腐倡廉建设中群众反映强烈的突出问题。</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6、在全县党员干部中开展党性党风党纪教育和廉政教育宣传，并对党员干部进行警示教育，不断增强廉洁自律意识。</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加强教育培训，开展系列学习教育活动，抓好纪检监察干部知识更新。强化多岗位锻炼，着力提高纪检监察干部业务能力。加强内部监督和管理，严格政治和组织纪律，努力打造忠诚、干净、担当的纪检监察干部队伍。</w:t>
      </w:r>
    </w:p>
    <w:p>
      <w:pPr>
        <w:autoSpaceDE w:val="0"/>
        <w:autoSpaceDN w:val="0"/>
        <w:adjustRightInd w:val="0"/>
        <w:ind w:left="198" w:firstLine="643" w:firstLineChars="200"/>
        <w:jc w:val="left"/>
        <w:rPr>
          <w:rFonts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第二部分  预算项目绩效目标</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ind w:firstLine="562" w:firstLineChars="200"/>
              <w:jc w:val="left"/>
              <w:outlineLvl w:val="1"/>
              <w:rPr>
                <w:rFonts w:asciiTheme="minorEastAsia" w:hAnsiTheme="minorEastAsia" w:eastAsiaTheme="minorEastAsia" w:cstheme="minorEastAsia"/>
                <w:b/>
                <w:sz w:val="28"/>
              </w:rPr>
            </w:pPr>
            <w:r>
              <w:rPr>
                <w:rFonts w:hint="eastAsia" w:asciiTheme="minorEastAsia" w:hAnsiTheme="minorEastAsia" w:eastAsiaTheme="minorEastAsia" w:cstheme="minorEastAsia"/>
                <w:b/>
                <w:sz w:val="28"/>
              </w:rPr>
              <w:t>1、巡察工作经费绩效目标表</w:t>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b/>
                <w:sz w:val="28"/>
              </w:rPr>
              <w:instrText xml:space="preserve"> TC 1、巡查工作经费绩效目标表 \f C \l 1 </w:instrText>
            </w:r>
            <w:r>
              <w:rPr>
                <w:rFonts w:hint="eastAsia" w:asciiTheme="minorEastAsia" w:hAnsiTheme="minorEastAsia" w:eastAsiaTheme="minorEastAsia" w:cstheme="minorEastAsia"/>
                <w:b/>
                <w:sz w:val="28"/>
              </w:rPr>
              <w:fldChar w:fldCharType="end"/>
            </w:r>
          </w:p>
          <w:p>
            <w:pPr>
              <w:spacing w:line="300" w:lineRule="exact"/>
              <w:jc w:val="left"/>
              <w:rPr>
                <w:rFonts w:ascii="方正书宋_GBK" w:eastAsia="方正书宋_GBK"/>
                <w:b/>
              </w:rPr>
            </w:pPr>
            <w:r>
              <w:rPr>
                <w:rFonts w:hint="eastAsia" w:asciiTheme="minorEastAsia" w:hAnsiTheme="minorEastAsia" w:eastAsiaTheme="minorEastAsia" w:cstheme="minorEastAsia"/>
                <w:b/>
              </w:rPr>
              <w:t xml:space="preserve"> </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Theme="minorEastAsia" w:hAnsiTheme="minorEastAsia" w:eastAsiaTheme="minorEastAsia" w:cstheme="minorEastAsia"/>
                <w:b/>
              </w:rPr>
            </w:pPr>
            <w:r>
              <w:rPr>
                <w:rFonts w:hint="eastAsia" w:asciiTheme="minorEastAsia" w:hAnsiTheme="minorEastAsia" w:eastAsiaTheme="minorEastAsia" w:cstheme="minorEastAsia"/>
                <w:b/>
              </w:rPr>
              <w:t>绩效目标</w:t>
            </w:r>
          </w:p>
        </w:tc>
        <w:tc>
          <w:tcPr>
            <w:tcW w:w="8278" w:type="dxa"/>
            <w:gridSpan w:val="2"/>
            <w:tcBorders>
              <w:bottom w:val="nil"/>
            </w:tcBorders>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保障市级统筹巡察及县、村级巡察组工作正常运转</w:t>
            </w:r>
          </w:p>
        </w:tc>
      </w:tr>
    </w:tbl>
    <w:p>
      <w:pPr>
        <w:spacing w:line="14" w:lineRule="exact"/>
        <w:ind w:firstLine="420" w:firstLineChars="200"/>
        <w:jc w:val="center"/>
        <w:rPr>
          <w:rFonts w:asciiTheme="minorEastAsia" w:hAnsiTheme="minorEastAsia" w:eastAsiaTheme="minorEastAsia" w:cstheme="minorEastAsia"/>
        </w:rPr>
      </w:pPr>
      <w:r>
        <w:rPr>
          <w:rFonts w:hint="eastAsia" w:asciiTheme="minorEastAsia" w:hAnsiTheme="minorEastAsia" w:eastAsiaTheme="minorEastAsia" w:cstheme="minorEastAsia"/>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Theme="minorEastAsia" w:hAnsiTheme="minorEastAsia" w:eastAsiaTheme="minorEastAsia" w:cstheme="minorEastAsia"/>
                <w:b/>
              </w:rPr>
            </w:pPr>
            <w:r>
              <w:rPr>
                <w:rFonts w:hint="eastAsia" w:asciiTheme="minorEastAsia" w:hAnsiTheme="minorEastAsia" w:eastAsiaTheme="minorEastAsia" w:cstheme="minorEastAsia"/>
                <w:b/>
              </w:rPr>
              <w:t>一级指标</w:t>
            </w:r>
          </w:p>
        </w:tc>
        <w:tc>
          <w:tcPr>
            <w:tcW w:w="1134" w:type="dxa"/>
            <w:vAlign w:val="center"/>
          </w:tcPr>
          <w:p>
            <w:pPr>
              <w:spacing w:line="300" w:lineRule="exact"/>
              <w:jc w:val="center"/>
              <w:rPr>
                <w:rFonts w:asciiTheme="minorEastAsia" w:hAnsiTheme="minorEastAsia" w:eastAsiaTheme="minorEastAsia" w:cstheme="minorEastAsia"/>
                <w:b/>
              </w:rPr>
            </w:pPr>
            <w:r>
              <w:rPr>
                <w:rFonts w:hint="eastAsia" w:asciiTheme="minorEastAsia" w:hAnsiTheme="minorEastAsia" w:eastAsiaTheme="minorEastAsia" w:cstheme="minorEastAsia"/>
                <w:b/>
              </w:rPr>
              <w:t>二级指标</w:t>
            </w:r>
          </w:p>
        </w:tc>
        <w:tc>
          <w:tcPr>
            <w:tcW w:w="1276" w:type="dxa"/>
            <w:vAlign w:val="center"/>
          </w:tcPr>
          <w:p>
            <w:pPr>
              <w:spacing w:line="300" w:lineRule="exact"/>
              <w:jc w:val="center"/>
              <w:rPr>
                <w:rFonts w:asciiTheme="minorEastAsia" w:hAnsiTheme="minorEastAsia" w:eastAsiaTheme="minorEastAsia" w:cstheme="minorEastAsia"/>
                <w:b/>
              </w:rPr>
            </w:pPr>
            <w:r>
              <w:rPr>
                <w:rFonts w:hint="eastAsia" w:asciiTheme="minorEastAsia" w:hAnsiTheme="minorEastAsia" w:eastAsiaTheme="minorEastAsia" w:cstheme="minorEastAsia"/>
                <w:b/>
              </w:rPr>
              <w:t>三级指标</w:t>
            </w:r>
          </w:p>
        </w:tc>
        <w:tc>
          <w:tcPr>
            <w:tcW w:w="2891" w:type="dxa"/>
            <w:vAlign w:val="center"/>
          </w:tcPr>
          <w:p>
            <w:pPr>
              <w:spacing w:line="300" w:lineRule="exact"/>
              <w:jc w:val="center"/>
              <w:rPr>
                <w:rFonts w:asciiTheme="minorEastAsia" w:hAnsiTheme="minorEastAsia" w:eastAsiaTheme="minorEastAsia" w:cstheme="minorEastAsia"/>
                <w:b/>
              </w:rPr>
            </w:pPr>
            <w:r>
              <w:rPr>
                <w:rFonts w:hint="eastAsia" w:asciiTheme="minorEastAsia" w:hAnsiTheme="minorEastAsia" w:eastAsiaTheme="minorEastAsia" w:cstheme="minorEastAsia"/>
                <w:b/>
              </w:rPr>
              <w:t>绩效指标描述</w:t>
            </w:r>
          </w:p>
        </w:tc>
        <w:tc>
          <w:tcPr>
            <w:tcW w:w="1276" w:type="dxa"/>
            <w:vAlign w:val="center"/>
          </w:tcPr>
          <w:p>
            <w:pPr>
              <w:spacing w:line="300" w:lineRule="exact"/>
              <w:jc w:val="center"/>
              <w:rPr>
                <w:rFonts w:asciiTheme="minorEastAsia" w:hAnsiTheme="minorEastAsia" w:eastAsiaTheme="minorEastAsia" w:cstheme="minorEastAsia"/>
                <w:b/>
              </w:rPr>
            </w:pPr>
            <w:r>
              <w:rPr>
                <w:rFonts w:hint="eastAsia" w:asciiTheme="minorEastAsia" w:hAnsiTheme="minorEastAsia" w:eastAsiaTheme="minorEastAsia" w:cstheme="minorEastAsia"/>
                <w:b/>
              </w:rPr>
              <w:t>指标值</w:t>
            </w:r>
          </w:p>
        </w:tc>
        <w:tc>
          <w:tcPr>
            <w:tcW w:w="1701" w:type="dxa"/>
            <w:vAlign w:val="center"/>
          </w:tcPr>
          <w:p>
            <w:pPr>
              <w:spacing w:line="300" w:lineRule="exact"/>
              <w:jc w:val="center"/>
              <w:rPr>
                <w:rFonts w:asciiTheme="minorEastAsia" w:hAnsiTheme="minorEastAsia" w:eastAsiaTheme="minorEastAsia" w:cstheme="minorEastAsia"/>
                <w:b/>
              </w:rPr>
            </w:pPr>
            <w:r>
              <w:rPr>
                <w:rFonts w:hint="eastAsia" w:asciiTheme="minorEastAsia" w:hAnsiTheme="minorEastAsia" w:eastAsiaTheme="minorEastAsia" w:cstheme="minorEastAsia"/>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Theme="minorEastAsia" w:hAnsiTheme="minorEastAsia" w:eastAsiaTheme="minorEastAsia" w:cstheme="minorEastAsia"/>
              </w:rPr>
            </w:pPr>
            <w:r>
              <w:rPr>
                <w:rFonts w:hint="eastAsia" w:ascii="方正书宋_GBK" w:eastAsia="方正书宋_GBK"/>
              </w:rPr>
              <w:t>产出指标</w:t>
            </w:r>
          </w:p>
        </w:tc>
        <w:tc>
          <w:tcPr>
            <w:tcW w:w="1134"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质量指标</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提高巡察覆盖率</w:t>
            </w:r>
          </w:p>
        </w:tc>
        <w:tc>
          <w:tcPr>
            <w:tcW w:w="289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整合巡察工作力量，按时间节点完成年度工作计划</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≥90按年度工作计划，积极完成各项巡察工作</w:t>
            </w:r>
          </w:p>
        </w:tc>
        <w:tc>
          <w:tcPr>
            <w:tcW w:w="170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Theme="minorEastAsia" w:hAnsiTheme="minorEastAsia" w:eastAsiaTheme="minorEastAsia" w:cstheme="minorEastAsia"/>
              </w:rPr>
            </w:pPr>
          </w:p>
        </w:tc>
        <w:tc>
          <w:tcPr>
            <w:tcW w:w="1134"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时效指标</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年度巡察轮次完成率</w:t>
            </w:r>
          </w:p>
        </w:tc>
        <w:tc>
          <w:tcPr>
            <w:tcW w:w="289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按巡察轮次，开展巡察工作</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≥90按时间节点，完成年度巡察工作计划</w:t>
            </w:r>
          </w:p>
        </w:tc>
        <w:tc>
          <w:tcPr>
            <w:tcW w:w="170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Theme="minorEastAsia" w:hAnsiTheme="minorEastAsia" w:eastAsiaTheme="minorEastAsia" w:cstheme="minorEastAsia"/>
              </w:rPr>
            </w:pPr>
          </w:p>
        </w:tc>
        <w:tc>
          <w:tcPr>
            <w:tcW w:w="1134"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数量指标</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巡察频率</w:t>
            </w:r>
          </w:p>
        </w:tc>
        <w:tc>
          <w:tcPr>
            <w:tcW w:w="289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巡察频率</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≥90按年度工作计划，积极完成各项巡察工作</w:t>
            </w:r>
          </w:p>
        </w:tc>
        <w:tc>
          <w:tcPr>
            <w:tcW w:w="170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Theme="minorEastAsia" w:hAnsiTheme="minorEastAsia" w:eastAsiaTheme="minorEastAsia" w:cstheme="minorEastAsia"/>
              </w:rPr>
            </w:pPr>
          </w:p>
        </w:tc>
        <w:tc>
          <w:tcPr>
            <w:tcW w:w="1134"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成本指标</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总成本</w:t>
            </w:r>
          </w:p>
        </w:tc>
        <w:tc>
          <w:tcPr>
            <w:tcW w:w="289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总成本</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≥90按年度工作计划</w:t>
            </w:r>
          </w:p>
        </w:tc>
        <w:tc>
          <w:tcPr>
            <w:tcW w:w="170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Theme="minorEastAsia" w:hAnsiTheme="minorEastAsia" w:eastAsiaTheme="minorEastAsia" w:cstheme="minorEastAsia"/>
              </w:rPr>
            </w:pPr>
            <w:r>
              <w:rPr>
                <w:rFonts w:hint="eastAsia" w:asciiTheme="minorEastAsia" w:hAnsiTheme="minorEastAsia" w:eastAsiaTheme="minorEastAsia" w:cstheme="minorEastAsia"/>
              </w:rPr>
              <w:t>效果指标</w:t>
            </w:r>
          </w:p>
        </w:tc>
        <w:tc>
          <w:tcPr>
            <w:tcW w:w="1134"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社会效益指标</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提升巡察质量和水平</w:t>
            </w:r>
          </w:p>
        </w:tc>
        <w:tc>
          <w:tcPr>
            <w:tcW w:w="289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破解县级巡察存在的熟人社会监督难问题，发现问题形成震慑</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≥90按年度工作计划开展巡察，为实现全覆盖打下坚实基础</w:t>
            </w:r>
          </w:p>
        </w:tc>
        <w:tc>
          <w:tcPr>
            <w:tcW w:w="170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Theme="minorEastAsia" w:hAnsiTheme="minorEastAsia" w:eastAsiaTheme="minorEastAsia" w:cstheme="minorEastAsia"/>
              </w:rPr>
            </w:pPr>
            <w:r>
              <w:rPr>
                <w:rFonts w:hint="eastAsia" w:asciiTheme="minorEastAsia" w:hAnsiTheme="minorEastAsia" w:eastAsiaTheme="minorEastAsia" w:cstheme="minorEastAsia"/>
              </w:rPr>
              <w:t>满意度指标</w:t>
            </w:r>
          </w:p>
        </w:tc>
        <w:tc>
          <w:tcPr>
            <w:tcW w:w="1134"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服务对象满意度指标</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人民群众满意度</w:t>
            </w:r>
          </w:p>
        </w:tc>
        <w:tc>
          <w:tcPr>
            <w:tcW w:w="289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严肃党内政治生活，净化政治生态，提高人民群众满意度</w:t>
            </w:r>
          </w:p>
        </w:tc>
        <w:tc>
          <w:tcPr>
            <w:tcW w:w="1276"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≥90确保巡察工作向基层延伸，提高人民群众满意度</w:t>
            </w:r>
          </w:p>
        </w:tc>
        <w:tc>
          <w:tcPr>
            <w:tcW w:w="1701" w:type="dxa"/>
            <w:vAlign w:val="center"/>
          </w:tcPr>
          <w:p>
            <w:pPr>
              <w:spacing w:line="300" w:lineRule="exact"/>
              <w:jc w:val="left"/>
              <w:rPr>
                <w:rFonts w:asciiTheme="minorEastAsia" w:hAnsiTheme="minorEastAsia" w:eastAsiaTheme="minorEastAsia" w:cstheme="minorEastAsia"/>
              </w:rPr>
            </w:pPr>
            <w:r>
              <w:rPr>
                <w:rFonts w:hint="eastAsia" w:asciiTheme="minorEastAsia" w:hAnsiTheme="minorEastAsia" w:eastAsiaTheme="minorEastAsia" w:cstheme="minorEastAsia"/>
              </w:rPr>
              <w:t>年度工作计划</w:t>
            </w:r>
          </w:p>
        </w:tc>
      </w:tr>
    </w:tbl>
    <w:p>
      <w:pPr>
        <w:spacing w:line="300" w:lineRule="exact"/>
        <w:ind w:firstLine="420" w:firstLineChars="200"/>
        <w:jc w:val="left"/>
      </w:pPr>
    </w:p>
    <w:p>
      <w:pPr>
        <w:spacing w:line="300" w:lineRule="exact"/>
        <w:ind w:firstLine="420" w:firstLineChars="200"/>
        <w:jc w:val="left"/>
      </w:pPr>
    </w:p>
    <w:p>
      <w:pPr>
        <w:autoSpaceDE w:val="0"/>
        <w:autoSpaceDN w:val="0"/>
        <w:adjustRightInd w:val="0"/>
        <w:ind w:firstLine="640" w:firstLineChars="200"/>
        <w:jc w:val="left"/>
        <w:rPr>
          <w:rFonts w:ascii="Times New Roman" w:hAnsi="Times New Roman" w:eastAsia="仿宋" w:cs="Times New Roman"/>
          <w:sz w:val="32"/>
          <w:szCs w:val="32"/>
        </w:rPr>
        <w:sectPr>
          <w:footerReference r:id="rId3" w:type="default"/>
          <w:pgSz w:w="11907" w:h="16839"/>
          <w:pgMar w:top="1984" w:right="1304" w:bottom="1134" w:left="1304" w:header="851" w:footer="992" w:gutter="0"/>
          <w:pgNumType w:start="1"/>
          <w:cols w:space="425" w:num="1"/>
          <w:docGrid w:type="lines" w:linePitch="312" w:charSpace="0"/>
        </w:sectPr>
      </w:pPr>
    </w:p>
    <w:bookmarkEnd w:id="0"/>
    <w:p>
      <w:pPr>
        <w:numPr>
          <w:ilvl w:val="0"/>
          <w:numId w:val="3"/>
        </w:numPr>
        <w:ind w:firstLine="640" w:firstLineChars="200"/>
        <w:rPr>
          <w:rFonts w:ascii="黑体" w:hAnsi="黑体" w:eastAsia="黑体" w:cs="Times New Roman"/>
          <w:sz w:val="32"/>
          <w:szCs w:val="32"/>
        </w:rPr>
      </w:pPr>
      <w:r>
        <w:rPr>
          <w:rFonts w:hint="eastAsia" w:ascii="黑体" w:hAnsi="黑体" w:eastAsia="黑体" w:cs="Times New Roman"/>
          <w:sz w:val="32"/>
          <w:szCs w:val="32"/>
        </w:rPr>
        <w:t>政府采购预算情况</w:t>
      </w:r>
      <w:bookmarkStart w:id="1" w:name="_Toc471398468"/>
    </w:p>
    <w:p>
      <w:pPr>
        <w:ind w:firstLine="640" w:firstLineChars="200"/>
        <w:rPr>
          <w:rFonts w:ascii="Times New Roman" w:hAnsi="Times New Roman" w:eastAsia="仿宋" w:cs="Times New Roman"/>
          <w:sz w:val="32"/>
          <w:szCs w:val="24"/>
        </w:rPr>
      </w:pPr>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5"/>
        <w:gridCol w:w="800"/>
        <w:gridCol w:w="1095"/>
        <w:gridCol w:w="1155"/>
        <w:gridCol w:w="675"/>
        <w:gridCol w:w="649"/>
        <w:gridCol w:w="885"/>
        <w:gridCol w:w="855"/>
        <w:gridCol w:w="840"/>
        <w:gridCol w:w="1185"/>
        <w:gridCol w:w="1020"/>
        <w:gridCol w:w="990"/>
        <w:gridCol w:w="870"/>
        <w:gridCol w:w="8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844"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rPr>
                <w:rFonts w:ascii="方正书宋_GBK" w:eastAsia="方正书宋_GBK"/>
                <w:b/>
              </w:rPr>
            </w:pPr>
            <w:r>
              <w:rPr>
                <w:rFonts w:hint="eastAsia" w:ascii="方正书宋_GBK" w:eastAsia="方正书宋_GBK"/>
                <w:b/>
              </w:rPr>
              <w:t>222中国共产党深泽县纪律检查委员会</w:t>
            </w:r>
          </w:p>
        </w:tc>
        <w:tc>
          <w:tcPr>
            <w:tcW w:w="6585"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center"/>
              <w:rPr>
                <w:rFonts w:ascii="方正书宋_GBK" w:eastAsia="方正书宋_GBK"/>
                <w:b/>
              </w:rPr>
            </w:pPr>
            <w:r>
              <w:rPr>
                <w:rFonts w:hint="eastAsia" w:ascii="方正书宋_GBK" w:eastAsia="方正书宋_GBK"/>
                <w:b/>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85" w:type="dxa"/>
            <w:gridSpan w:val="2"/>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095"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155"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政府采购</w:t>
            </w:r>
          </w:p>
        </w:tc>
        <w:tc>
          <w:tcPr>
            <w:tcW w:w="675"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649"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85"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585" w:type="dxa"/>
            <w:gridSpan w:val="7"/>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585"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0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09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115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67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649"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88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855"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905" w:type="dxa"/>
            <w:gridSpan w:val="5"/>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25"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58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800"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109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115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67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649"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88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85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0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9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7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25"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无</w:t>
            </w:r>
          </w:p>
        </w:tc>
        <w:tc>
          <w:tcPr>
            <w:tcW w:w="8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155" w:type="dxa"/>
            <w:tcBorders>
              <w:top w:val="single" w:color="000000" w:sz="6" w:space="0"/>
              <w:left w:val="single" w:color="000000" w:sz="6" w:space="0"/>
              <w:bottom w:val="single" w:color="000000" w:sz="6" w:space="0"/>
              <w:right w:val="single" w:color="000000" w:sz="6" w:space="0"/>
            </w:tcBorders>
            <w:vAlign w:val="center"/>
          </w:tcPr>
          <w:p>
            <w:pPr>
              <w:widowControl/>
              <w:jc w:val="left"/>
              <w:textAlignment w:val="center"/>
              <w:rPr>
                <w:rFonts w:ascii="方正书宋_GBK" w:eastAsia="方正书宋_GBK"/>
                <w:b/>
              </w:rPr>
            </w:pPr>
          </w:p>
        </w:tc>
        <w:tc>
          <w:tcPr>
            <w:tcW w:w="67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6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8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85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1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0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99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87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82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r>
    </w:tbl>
    <w:p>
      <w:pPr>
        <w:ind w:firstLine="640" w:firstLineChars="200"/>
        <w:rPr>
          <w:rFonts w:ascii="Times New Roman" w:hAnsi="Times New Roman" w:eastAsia="仿宋" w:cs="Times New Roman"/>
          <w:sz w:val="32"/>
          <w:szCs w:val="24"/>
        </w:rPr>
      </w:pPr>
    </w:p>
    <w:p>
      <w:pPr>
        <w:ind w:firstLine="640" w:firstLineChars="200"/>
        <w:rPr>
          <w:rFonts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中国共产党深泽县纪律检查委员会2020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204.3207</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。本年度拟购置的固定资产金额为0万元。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中国共产党深泽县纪律检查委员会固定资产占用情况表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中国共产党深泽县纪律检查委员会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宋体" w:hAnsi="宋体" w:cs="宋体"/>
                <w:kern w:val="0"/>
                <w:sz w:val="28"/>
                <w:szCs w:val="28"/>
              </w:rPr>
              <w:t>204.3207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宋体" w:hAnsi="宋体" w:cs="宋体"/>
                <w:kern w:val="0"/>
                <w:sz w:val="28"/>
                <w:szCs w:val="28"/>
              </w:rPr>
              <w:t>5</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宋体" w:hAnsi="宋体" w:cs="宋体"/>
                <w:kern w:val="0"/>
                <w:sz w:val="28"/>
                <w:szCs w:val="28"/>
              </w:rPr>
              <w:t>72.1354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宋体" w:hAnsi="宋体" w:cs="宋体"/>
                <w:kern w:val="0"/>
                <w:sz w:val="28"/>
                <w:szCs w:val="28"/>
              </w:rPr>
              <w:t>132.1853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我单位没有安排政府基金预算和国有资本经营预算财政拨款，特此说明。</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roman"/>
    <w:pitch w:val="default"/>
    <w:sig w:usb0="00000000" w:usb1="00000000" w:usb2="00000000" w:usb3="00000000" w:csb0="0000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9"/>
      </w:rPr>
    </w:pPr>
    <w:r>
      <w:rPr>
        <w:rStyle w:val="9"/>
      </w:rPr>
      <w:fldChar w:fldCharType="begin"/>
    </w:r>
    <w:r>
      <w:rPr>
        <w:rStyle w:val="9"/>
      </w:rPr>
      <w:instrText xml:space="preserve">PAGE  </w:instrText>
    </w:r>
    <w:r>
      <w:rPr>
        <w:rStyle w:val="9"/>
      </w:rPr>
      <w:fldChar w:fldCharType="separate"/>
    </w:r>
    <w:r>
      <w:rPr>
        <w:rStyle w:val="9"/>
      </w:rPr>
      <w:t>1</w:t>
    </w:r>
    <w:r>
      <w:rPr>
        <w:rStyle w:val="9"/>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11</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750294"/>
    <w:multiLevelType w:val="singleLevel"/>
    <w:tmpl w:val="08750294"/>
    <w:lvl w:ilvl="0" w:tentative="0">
      <w:start w:val="3"/>
      <w:numFmt w:val="decimal"/>
      <w:suff w:val="nothing"/>
      <w:lvlText w:val="%1、"/>
      <w:lvlJc w:val="left"/>
    </w:lvl>
  </w:abstractNum>
  <w:abstractNum w:abstractNumId="1">
    <w:nsid w:val="1C545B94"/>
    <w:multiLevelType w:val="singleLevel"/>
    <w:tmpl w:val="1C545B94"/>
    <w:lvl w:ilvl="0" w:tentative="0">
      <w:start w:val="5"/>
      <w:numFmt w:val="chineseCounting"/>
      <w:suff w:val="nothing"/>
      <w:lvlText w:val="%1、"/>
      <w:lvlJc w:val="left"/>
      <w:rPr>
        <w:rFonts w:hint="eastAsia"/>
      </w:rPr>
    </w:lvl>
  </w:abstractNum>
  <w:abstractNum w:abstractNumId="2">
    <w:nsid w:val="418B1ADF"/>
    <w:multiLevelType w:val="singleLevel"/>
    <w:tmpl w:val="418B1ADF"/>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JiYTkyNDlkNjUzZmE3ZGVjNWNmNjJjYjIyMGJmNTYifQ=="/>
  </w:docVars>
  <w:rsids>
    <w:rsidRoot w:val="00EE71BA"/>
    <w:rsid w:val="000C7140"/>
    <w:rsid w:val="00307B58"/>
    <w:rsid w:val="00323B29"/>
    <w:rsid w:val="0039059E"/>
    <w:rsid w:val="004D3883"/>
    <w:rsid w:val="007F0341"/>
    <w:rsid w:val="009A521C"/>
    <w:rsid w:val="00A72D83"/>
    <w:rsid w:val="00D607DA"/>
    <w:rsid w:val="00DC6EE5"/>
    <w:rsid w:val="00EE71BA"/>
    <w:rsid w:val="00F867E4"/>
    <w:rsid w:val="04B733E7"/>
    <w:rsid w:val="056D17C0"/>
    <w:rsid w:val="0F262984"/>
    <w:rsid w:val="27703D36"/>
    <w:rsid w:val="28846C57"/>
    <w:rsid w:val="2E7738F6"/>
    <w:rsid w:val="32F8435A"/>
    <w:rsid w:val="394C77B6"/>
    <w:rsid w:val="3BD63F46"/>
    <w:rsid w:val="3D2F2FDE"/>
    <w:rsid w:val="3E422FDD"/>
    <w:rsid w:val="3E4D23FF"/>
    <w:rsid w:val="42FE3883"/>
    <w:rsid w:val="53065CA7"/>
    <w:rsid w:val="5E3B61DA"/>
    <w:rsid w:val="6CC4562E"/>
    <w:rsid w:val="6DA650BE"/>
    <w:rsid w:val="7A6A689B"/>
    <w:rsid w:val="7A880FEB"/>
    <w:rsid w:val="7D704A51"/>
    <w:rsid w:val="7F2B6A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qFormat/>
    <w:uiPriority w:val="0"/>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字符"/>
    <w:link w:val="2"/>
    <w:semiHidden/>
    <w:qFormat/>
    <w:uiPriority w:val="0"/>
    <w:rPr>
      <w:rFonts w:ascii="Times New Roman" w:hAnsi="Times New Roman" w:eastAsia="宋体" w:cs="Times New Roman"/>
      <w:sz w:val="18"/>
      <w:szCs w:val="18"/>
    </w:rPr>
  </w:style>
  <w:style w:type="character" w:customStyle="1" w:styleId="14">
    <w:name w:val="页眉 字符"/>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11</Pages>
  <Words>4133</Words>
  <Characters>4294</Characters>
  <Lines>32</Lines>
  <Paragraphs>9</Paragraphs>
  <TotalTime>1</TotalTime>
  <ScaleCrop>false</ScaleCrop>
  <LinksUpToDate>false</LinksUpToDate>
  <CharactersWithSpaces>4303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2022-09-16T02:00:00Z</dcterms:created>
  <dc:creator>guest</dc:creator>
  <cp:lastModifiedBy>王权</cp:lastModifiedBy>
  <cp:lastPrinted>2020-02-21T07:55:00Z</cp:lastPrinted>
  <dcterms:modified xsi:type="dcterms:W3CDTF">2023-06-01T08:17:41Z</dcterms:modified>
  <dc:title>o</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06C7EB0065924950863B19F286ABEA41</vt:lpwstr>
  </property>
</Properties>
</file>