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中共深泽县委办公室</w:t>
      </w:r>
    </w:p>
    <w:p>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rPr>
        <w:t>《中华人民共和国</w:t>
      </w:r>
      <w:bookmarkStart w:id="12" w:name="_GoBack"/>
      <w:bookmarkEnd w:id="12"/>
      <w:r>
        <w:rPr>
          <w:rFonts w:hint="eastAsia" w:ascii="Times New Roman" w:hAnsi="Times New Roman" w:eastAsia="仿宋" w:cs="Times New Roman"/>
          <w:sz w:val="32"/>
          <w:szCs w:val="32"/>
        </w:rPr>
        <w:t>预算法》</w:t>
      </w:r>
      <w:r>
        <w:rPr>
          <w:rFonts w:hint="eastAsia" w:ascii="Times New Roman" w:hAnsi="Times New Roman" w:eastAsia="仿宋" w:cs="Times New Roman"/>
          <w:sz w:val="32"/>
          <w:szCs w:val="32"/>
        </w:rPr>
        <w:t>、《地方预决算公开操作规程》和《深泽县县级预算公开办法》规定，现将中共深泽县委办公室2020年部门预算公开如下：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eastAsia="方正仿宋_GBK"/>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反应民意，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pPr>
        <w:ind w:firstLine="643" w:firstLineChars="200"/>
        <w:rPr>
          <w:rFonts w:ascii="方正小标宋简体" w:hAnsi="方正小标宋简体" w:eastAsia="方正小标宋简体" w:cs="方正小标宋简体"/>
          <w:sz w:val="32"/>
          <w:szCs w:val="24"/>
        </w:rPr>
      </w:pPr>
      <w:r>
        <w:rPr>
          <w:rFonts w:hint="eastAsia" w:ascii="仿宋" w:hAnsi="仿宋" w:eastAsia="仿宋" w:cs="Times New Roman"/>
          <w:b/>
          <w:sz w:val="32"/>
          <w:szCs w:val="32"/>
        </w:rPr>
        <w:t xml:space="preserve">机构设置：      </w:t>
      </w:r>
      <w:r>
        <w:rPr>
          <w:rFonts w:hint="eastAsia" w:ascii="方正小标宋简体" w:hAnsi="方正小标宋简体" w:eastAsia="方正小标宋简体" w:cs="方正小标宋简体"/>
          <w:sz w:val="32"/>
          <w:szCs w:val="24"/>
        </w:rPr>
        <w:t>部门机构设置情况</w:t>
      </w:r>
    </w:p>
    <w:tbl>
      <w:tblPr>
        <w:tblStyle w:val="9"/>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中共深泽县委办公室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 w:hAnsi="仿宋"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Times New Roman"/>
          <w:sz w:val="32"/>
          <w:szCs w:val="32"/>
        </w:rPr>
        <w:t>中共深泽县委办公室（含：团委、妇联、党史、统战部、机关工委、地方志）</w:t>
      </w:r>
      <w:r>
        <w:rPr>
          <w:rFonts w:ascii="仿宋" w:hAnsi="仿宋"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反映本部门当年全部收入。2020年预算收入887.62万元，其中：一般公共预算收入887.62万元，基金预算收入0万元，财政专户核拨收入0万元，其他来源收入0万元。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深泽县委办公室年度部门预算中支出预算的总体情况。2020年部门支出预算为887.62万元，其中基本支出780.5万元，包括人员经费627.42万元和日常公用经费153.08万元；项目支出107.12万元，主要县委专项事务支出63.6万元，团委专项事务支出6万元，妇联专项事务支出21万元，统战专项事务支出12.12万元，机关工委专项事务支出1.4万元，地方志专项事务支出3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887.62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195.6万元，其中：基本支出增加174.43万元，主要是机构改革部门及人员增加人员经费和日常公用经费；项目支出增加21.17万元，主要是调整了个别部门一部分项目（如：团委减少4万元、妇联减少5.4万元、增加50万元涉密项目等）的预算；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2020年，我部门机关运行经费共计安排153.08万元，主要用于保证机关正常运转的办公费、邮电费、差旅费、维修（护）费、公务接待费、工会经费、福利费、公务车运行维护费、其他交通费用等支出。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17.1万元，与上年相比，减少1万元。其中：因公出国（境）费0万元，与上年持平，无增减变化；公务用车购置及运维费16万元（其中：公务用车购置费0万元，公务用车运行维护费16万元)，与上年相比，减少1万元，</w:t>
      </w:r>
      <w:r>
        <w:rPr>
          <w:rFonts w:hint="eastAsia" w:ascii="仿宋_GB2312" w:hAnsi="仿宋_GB2312" w:eastAsia="仿宋_GB2312" w:cs="仿宋_GB2312"/>
          <w:sz w:val="32"/>
          <w:szCs w:val="32"/>
        </w:rPr>
        <w:t>主要原因为厉行节约</w:t>
      </w:r>
      <w:r>
        <w:rPr>
          <w:rFonts w:hint="eastAsia" w:ascii="Times New Roman" w:hAnsi="Times New Roman" w:eastAsia="仿宋" w:cs="Times New Roman"/>
          <w:sz w:val="32"/>
          <w:szCs w:val="32"/>
        </w:rPr>
        <w:t>；公务接待费1.1万元，</w:t>
      </w:r>
      <w:r>
        <w:rPr>
          <w:rFonts w:hint="eastAsia" w:ascii="仿宋_GB2312" w:hAnsi="仿宋_GB2312" w:eastAsia="仿宋_GB2312" w:cs="仿宋_GB2312"/>
          <w:sz w:val="32"/>
          <w:szCs w:val="32"/>
        </w:rPr>
        <w:t>与上年持平，无增减变化</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反应民意，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1、参谋协调运转工作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绩效目标：保障县委办公室大型会议、重大活动的正常、顺利举办；保障县委公文正常运转。</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绩效指标：发文核审差错率、公文流转速度、文稿起草工作完成量、大型会议控制率、重大工作参与率、接待费控制率、会务接待工作完成率。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2、信息收集和督查调工作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反应民意，及时上报，促进决策民主化和科学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绩效指标：全县党委系统信息网络协调和指导工作完成率、社情民意反映率、宣传报道完成率、督查督办按时办结率、重大决策部署落实的调研工作完成率。</w:t>
      </w:r>
    </w:p>
    <w:p>
      <w:pPr>
        <w:autoSpaceDE w:val="0"/>
        <w:autoSpaceDN w:val="0"/>
        <w:adjustRightInd w:val="0"/>
        <w:ind w:left="198" w:firstLine="640" w:firstLineChars="200"/>
        <w:jc w:val="left"/>
        <w:rPr>
          <w:rFonts w:ascii="方正书宋_GBK" w:eastAsia="方正书宋_GBK"/>
          <w:b/>
        </w:rPr>
      </w:pPr>
      <w:r>
        <w:rPr>
          <w:rFonts w:hint="eastAsia" w:ascii="Times New Roman" w:hAnsi="Times New Roman" w:eastAsia="仿宋" w:cs="Times New Roman"/>
          <w:sz w:val="32"/>
          <w:szCs w:val="32"/>
        </w:rPr>
        <w:t>3、全县党委系统公务内网建设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绩效目标：数据资源丰富、数据正版、权威可靠，用户满意度高。线路畅通，系统运行稳定。。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绩效指标：网络正常运转保障时间、网络信息安全保障情况、全县公务内网的建设管理工作完成率、内容条目更新速度。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4、机关密码管理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绩效目标：涉密。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绩效指标：涉密。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5、保密管理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绩效目标：涉密。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绩效指标：涉密。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6、县委事务管理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绩效目标：县委系统房产、基建、维修、物资分配和其他行政事务工作；县委领导同志和部分原县级领导同志，以及离退休同志的生活服务和阅文、参加有关活动的事务服务工作。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绩效指标：综合业务管理工作完成率、印刷文件的正确率、老干部满意率。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1、党建工作经费绩效目标表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、加强党性教育活动、党务干部培训。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、组织基层党组织考察学习。</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加强党性教育活动、党务干部培训。</w:t>
            </w:r>
          </w:p>
        </w:tc>
        <w:tc>
          <w:tcPr>
            <w:tcW w:w="2891" w:type="dxa"/>
            <w:vAlign w:val="center"/>
          </w:tcPr>
          <w:p>
            <w:pPr>
              <w:spacing w:line="300" w:lineRule="exact"/>
              <w:jc w:val="left"/>
              <w:rPr>
                <w:rFonts w:ascii="方正书宋_GBK" w:eastAsia="方正书宋_GBK"/>
              </w:rPr>
            </w:pPr>
            <w:r>
              <w:rPr>
                <w:rFonts w:hint="eastAsia"/>
              </w:rPr>
              <w:t>加强党性教育活动、党务干部培训。</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组织基层党组织考察学习</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组织基层党组织考察学习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≥200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ascii="Times New Roman" w:hAnsi="宋体"/>
          <w:b/>
          <w:sz w:val="28"/>
        </w:rPr>
      </w:pPr>
      <w:r>
        <w:rPr>
          <w:rFonts w:hint="eastAsia" w:ascii="方正仿宋_GBK" w:eastAsia="方正仿宋_GBK"/>
          <w:b/>
          <w:sz w:val="28"/>
        </w:rPr>
        <w:t xml:space="preserve"> 2、省委应急值守综合指挥调度系统的维护和运行保障绩效目标表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hint="eastAsia" w:ascii="方正书宋_GBK" w:eastAsia="方正书宋_GBK"/>
              </w:rPr>
              <w:t>省委应急值守综合指挥调度系统的维护和运行保障</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系统故障率(％)</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系统故障率(％)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&lt;= 1</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平均日维护数(次／日)</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平均日维护数(次／日)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1</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质量指标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故障排除率(％)</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故障排除率(％)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99</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确保值班指挥系统正常运转，服务对象满意度。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确保值班指挥系统正常运转，服务对象满意度。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3、订阅内部刊物绩效目标表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、根据上级要求，免费赠阅《中办通讯》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、为县委、县政府主要领导订阅《内部参考》和《内参选编》</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免费赠阅《中办通讯》</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免费赠阅《中办通讯》150份</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订阅《内部参考》和《内参选编》</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订阅《内部参考》和《内参选编》共计8套</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4、妇女儿童专项工作绩效目标表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、妇女、儿童事业全面发展</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妇女、儿童事业全面发展</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妇女、儿童事业全面发展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5、妇联妇女工作经费（全县妇女人均一元）绩效目标表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42"/>
      <w:r>
        <w:rPr>
          <w:rFonts w:hint="eastAsia" w:ascii="方正仿宋_GBK" w:eastAsia="方正仿宋_GBK"/>
          <w:b/>
          <w:sz w:val="28"/>
        </w:rPr>
        <w:instrText xml:space="preserve">11、省人大常委会办公厅信息化建设资金（预内基建）绩效目标表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、重大节日的慰问、庆祝活动、最美家庭及家风家训巡讲、表彰、展示活动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、美丽庭院创建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重大节日的慰问、庆祝活动、最美家庭及家风家训巡讲、表彰、展示活动；</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重大节日的慰问、庆祝活动、最美家庭及家风家训巡讲、表彰、展示活动；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美丽庭院创建</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美丽庭院创建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2</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6、归侨职工退休后发放生活补贴绩效目标表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484631"/>
      <w:r>
        <w:rPr>
          <w:rFonts w:hint="eastAsia" w:ascii="方正仿宋_GBK" w:eastAsia="方正仿宋_GBK"/>
          <w:b/>
          <w:sz w:val="28"/>
        </w:rPr>
        <w:instrText xml:space="preserve">1、河北省人民代表大会会议费绩效目标表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、归侨职工退休后发放生活补贴</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经济效益指标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归侨职工退休后发放生活补贴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7、支持基层宗教工作专项经费绩效目标表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、基层宗教工作专项经费</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时效指标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完成率</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爱国主义教育基地参观学习人次</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组织前往爱国主义教育基地参观的数量（人次）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&gt;= 200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18"/>
                <w:szCs w:val="18"/>
                <w:lang w:bidi="ar"/>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接受基本公共卫生服务的重点人群对基层医疗卫生机构所提供服务的满意程度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8、创建省级“示范妇女之家”绩效目标表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、创建省级“示范妇女之家”，提升妇联干部工作能力和服务水平</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达到河北省“示范妇女之家”建设标准的省级“示范妇女之家”数量</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达到河北省“示范妇女之家”建设标准的省级“示范妇女之家”数量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2</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本年度在省“示范妇女之家”开展活动的次数</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本年度在省“示范妇女之家”开展活动的次数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20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社会效益指标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本年度在省“示范妇女之家”受益的妇女儿童人次</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本年度在省“示范妇女之家”受益的妇女儿童人次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服务对象满意度指标</w:t>
            </w:r>
          </w:p>
        </w:tc>
        <w:tc>
          <w:tcPr>
            <w:tcW w:w="1276" w:type="dxa"/>
            <w:vAlign w:val="center"/>
          </w:tcPr>
          <w:p>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基层妇女群众和妇联干部满意度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Times New Roman" w:hAnsi="宋体"/>
          <w:b/>
          <w:sz w:val="28"/>
        </w:rPr>
      </w:pPr>
      <w:r>
        <w:rPr>
          <w:rFonts w:hint="eastAsia" w:ascii="方正仿宋_GBK" w:eastAsia="方正仿宋_GBK"/>
          <w:b/>
          <w:sz w:val="28"/>
        </w:rPr>
        <w:t>9、市级妇女之家建设绩效目标表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、市级妇女之家建设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、妇女之家建设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指标5培养人才数量</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通过加强对四个一批和燕赵文化之星人才培养，加大资金投入规模。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社会影响力</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在全国或全省产生的重要影响，得到广大受众的充分认可。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65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群众满意度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Times New Roman" w:hAnsi="宋体"/>
          <w:b/>
          <w:sz w:val="28"/>
        </w:rPr>
      </w:pPr>
      <w:r>
        <w:rPr>
          <w:rFonts w:hint="eastAsia" w:ascii="方正仿宋_GBK" w:eastAsia="方正仿宋_GBK"/>
          <w:b/>
          <w:sz w:val="28"/>
        </w:rPr>
        <w:t>10、党外干部、知识分子培训绩效目标表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、党外干部、知识分子培训</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党外干部、知识分子培训</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党外干部、知识分子培训</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200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培训满意程度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Times New Roman" w:hAnsi="宋体"/>
          <w:b/>
          <w:sz w:val="28"/>
        </w:rPr>
      </w:pPr>
      <w:r>
        <w:rPr>
          <w:rFonts w:hint="eastAsia" w:ascii="方正仿宋_GBK" w:eastAsia="方正仿宋_GBK"/>
          <w:b/>
          <w:sz w:val="28"/>
        </w:rPr>
        <w:t>11、统战部办公费、培训绩效目标表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、统战部办公费、培训费</w:t>
            </w:r>
          </w:p>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统战部办公费、培训费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ind w:firstLine="560" w:firstLineChars="200"/>
        <w:jc w:val="left"/>
        <w:outlineLvl w:val="1"/>
        <w:rPr>
          <w:rFonts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12、团委青年工作活动经费绩效目标表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、美丽中国青春行动系列活动 “寸草心”爱老敬老志愿服务3.18成人节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、五四青年节</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美丽中国青春行动系列活动 “寸草心”爱老敬老志愿服务3.18成人节五四青年节</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美丽中国青春行动系列活动 “寸草心”爱老敬老志愿服务3.18成人节</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五四青年节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数量指标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青年大学习活动六一“两红两优”评选学雷锋志愿服务活动贫困大学生资助活动</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青年大学习活动</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六一“两红两优”评选</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学雷锋志愿服务活动</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贫困大学生资助活动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 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服务对象满意度</w:t>
            </w:r>
          </w:p>
        </w:tc>
        <w:tc>
          <w:tcPr>
            <w:tcW w:w="2891" w:type="dxa"/>
            <w:vAlign w:val="center"/>
          </w:tcPr>
          <w:p>
            <w:pPr>
              <w:widowControl/>
              <w:jc w:val="left"/>
              <w:textAlignment w:val="center"/>
              <w:rPr>
                <w:rFonts w:ascii="方正书宋_GBK" w:eastAsia="方正书宋_GBK"/>
              </w:rPr>
            </w:pPr>
            <w:r>
              <w:rPr>
                <w:rFonts w:hint="eastAsia" w:ascii="宋体" w:hAnsi="宋体" w:cs="宋体"/>
                <w:color w:val="000000"/>
                <w:kern w:val="0"/>
                <w:sz w:val="18"/>
                <w:szCs w:val="18"/>
                <w:lang w:bidi="ar"/>
              </w:rPr>
              <w:t>服务的满意程度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14" w:lineRule="exact"/>
        <w:ind w:firstLine="420" w:firstLineChars="200"/>
        <w:jc w:val="center"/>
        <w:rPr>
          <w:rFonts w:ascii="Times New Roman" w:hAnsi="宋体"/>
        </w:rPr>
      </w:pPr>
      <w:r>
        <w:rPr>
          <w:rFonts w:ascii="方正书宋_GBK" w:eastAsia="方正书宋_GBK"/>
        </w:rPr>
        <w:t xml:space="preserve"> </w:t>
      </w:r>
    </w:p>
    <w:p>
      <w:pPr>
        <w:ind w:firstLine="420" w:firstLineChars="200"/>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sectPr>
          <w:footerReference r:id="rId3" w:type="default"/>
          <w:pgSz w:w="11906" w:h="16838"/>
          <w:pgMar w:top="1134" w:right="1304" w:bottom="1984" w:left="1304" w:header="851" w:footer="992" w:gutter="0"/>
          <w:cols w:space="0" w:num="1"/>
          <w:docGrid w:type="lines" w:linePitch="327"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0"/>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201</w:t>
            </w:r>
            <w:r>
              <w:rPr>
                <w:rFonts w:hint="eastAsia" w:ascii="Times New Roman" w:hAnsi="Times New Roman" w:eastAsia="仿宋" w:cs="Times New Roman"/>
                <w:color w:val="000000"/>
                <w:sz w:val="32"/>
                <w:szCs w:val="32"/>
              </w:rPr>
              <w:t>中共深泽县委办公室</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无</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ind w:firstLine="640"/>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注：无政府采购</w:t>
      </w:r>
      <w:r>
        <w:rPr>
          <w:rFonts w:ascii="Times New Roman" w:hAnsi="Times New Roman" w:eastAsia="仿宋" w:cs="Times New Roman"/>
          <w:color w:val="000000"/>
          <w:szCs w:val="21"/>
        </w:rPr>
        <w:t>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中共深泽县委办公室2019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299.64</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w:t>
      </w:r>
      <w:r>
        <w:rPr>
          <w:rFonts w:ascii="Times New Roman" w:hAnsi="Times New Roman" w:eastAsia="仿宋" w:cs="Times New Roman"/>
          <w:color w:val="000000"/>
          <w:sz w:val="32"/>
          <w:szCs w:val="32"/>
        </w:rPr>
        <w:t>拟购置</w:t>
      </w:r>
      <w:r>
        <w:rPr>
          <w:rFonts w:hint="eastAsia" w:ascii="Times New Roman" w:hAnsi="Times New Roman" w:eastAsia="仿宋" w:cs="Times New Roman"/>
          <w:color w:val="000000"/>
          <w:sz w:val="32"/>
          <w:szCs w:val="32"/>
        </w:rPr>
        <w:t>0万元</w:t>
      </w:r>
      <w:r>
        <w:rPr>
          <w:rFonts w:ascii="Times New Roman" w:hAnsi="Times New Roman" w:eastAsia="仿宋" w:cs="Times New Roman"/>
          <w:color w:val="000000"/>
          <w:sz w:val="32"/>
          <w:szCs w:val="32"/>
        </w:rPr>
        <w:t>。</w:t>
      </w:r>
    </w:p>
    <w:p>
      <w:pPr>
        <w:ind w:firstLine="640"/>
        <w:rPr>
          <w:rFonts w:ascii="Times New Roman" w:hAnsi="Times New Roman" w:eastAsia="仿宋" w:cs="Times New Roman"/>
          <w:color w:val="000000"/>
          <w:sz w:val="32"/>
          <w:szCs w:val="32"/>
        </w:rPr>
      </w:pPr>
    </w:p>
    <w:tbl>
      <w:tblPr>
        <w:tblStyle w:val="9"/>
        <w:tblW w:w="12345" w:type="dxa"/>
        <w:tblInd w:w="93" w:type="dxa"/>
        <w:tblLayout w:type="fixed"/>
        <w:tblCellMar>
          <w:top w:w="0" w:type="dxa"/>
          <w:left w:w="108" w:type="dxa"/>
          <w:bottom w:w="0" w:type="dxa"/>
          <w:right w:w="108" w:type="dxa"/>
        </w:tblCellMar>
      </w:tblPr>
      <w:tblGrid>
        <w:gridCol w:w="3063"/>
        <w:gridCol w:w="740"/>
        <w:gridCol w:w="2323"/>
        <w:gridCol w:w="6219"/>
      </w:tblGrid>
      <w:tr>
        <w:tblPrEx>
          <w:tblLayout w:type="fixed"/>
          <w:tblCellMar>
            <w:top w:w="0" w:type="dxa"/>
            <w:left w:w="108" w:type="dxa"/>
            <w:bottom w:w="0" w:type="dxa"/>
            <w:right w:w="108" w:type="dxa"/>
          </w:tblCellMar>
        </w:tblPrEx>
        <w:trPr>
          <w:trHeight w:val="705" w:hRule="atLeast"/>
        </w:trPr>
        <w:tc>
          <w:tcPr>
            <w:tcW w:w="12345" w:type="dxa"/>
            <w:gridSpan w:val="4"/>
            <w:tcBorders>
              <w:top w:val="nil"/>
              <w:left w:val="nil"/>
              <w:bottom w:val="nil"/>
              <w:right w:val="nil"/>
            </w:tcBorders>
            <w:vAlign w:val="center"/>
          </w:tcPr>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中共深泽县委办公室固定资产占用情况表</w:t>
            </w:r>
          </w:p>
        </w:tc>
      </w:tr>
      <w:tr>
        <w:tblPrEx>
          <w:tblLayout w:type="fixed"/>
          <w:tblCellMar>
            <w:top w:w="0" w:type="dxa"/>
            <w:left w:w="108" w:type="dxa"/>
            <w:bottom w:w="0" w:type="dxa"/>
            <w:right w:w="108" w:type="dxa"/>
          </w:tblCellMar>
        </w:tblPrEx>
        <w:trPr>
          <w:trHeight w:val="510" w:hRule="atLeast"/>
        </w:trPr>
        <w:tc>
          <w:tcPr>
            <w:tcW w:w="3803" w:type="dxa"/>
            <w:gridSpan w:val="2"/>
            <w:tcBorders>
              <w:top w:val="nil"/>
              <w:left w:val="nil"/>
              <w:bottom w:val="nil"/>
              <w:right w:val="nil"/>
            </w:tcBorders>
            <w:vAlign w:val="center"/>
          </w:tcPr>
          <w:p>
            <w:pPr>
              <w:widowControl/>
              <w:jc w:val="left"/>
              <w:rPr>
                <w:rFonts w:ascii="仿宋" w:hAnsi="仿宋" w:eastAsia="仿宋" w:cs="仿宋"/>
                <w:kern w:val="0"/>
                <w:sz w:val="24"/>
                <w:szCs w:val="24"/>
              </w:rPr>
            </w:pPr>
            <w:r>
              <w:rPr>
                <w:rFonts w:hint="eastAsia" w:ascii="仿宋" w:hAnsi="仿宋" w:eastAsia="仿宋" w:cs="仿宋"/>
                <w:kern w:val="0"/>
                <w:sz w:val="24"/>
                <w:szCs w:val="24"/>
              </w:rPr>
              <w:t>编制部门：中共深泽县委办公室</w:t>
            </w:r>
          </w:p>
        </w:tc>
        <w:tc>
          <w:tcPr>
            <w:tcW w:w="8542" w:type="dxa"/>
            <w:gridSpan w:val="2"/>
            <w:tcBorders>
              <w:top w:val="nil"/>
              <w:left w:val="nil"/>
              <w:bottom w:val="nil"/>
              <w:right w:val="nil"/>
            </w:tcBorders>
            <w:vAlign w:val="center"/>
          </w:tcPr>
          <w:p>
            <w:pPr>
              <w:widowControl/>
              <w:jc w:val="left"/>
              <w:rPr>
                <w:rFonts w:ascii="仿宋" w:hAnsi="仿宋" w:eastAsia="仿宋" w:cs="仿宋"/>
                <w:kern w:val="0"/>
                <w:sz w:val="24"/>
                <w:szCs w:val="24"/>
              </w:rPr>
            </w:pPr>
            <w:r>
              <w:rPr>
                <w:rFonts w:hint="eastAsia" w:ascii="仿宋" w:hAnsi="仿宋" w:eastAsia="仿宋" w:cs="仿宋"/>
                <w:kern w:val="0"/>
                <w:sz w:val="24"/>
                <w:szCs w:val="24"/>
              </w:rPr>
              <w:t xml:space="preserve">                                       截止时间：2019年12月31日</w:t>
            </w:r>
          </w:p>
        </w:tc>
      </w:tr>
      <w:tr>
        <w:tblPrEx>
          <w:tblLayout w:type="fixed"/>
          <w:tblCellMar>
            <w:top w:w="0" w:type="dxa"/>
            <w:left w:w="108" w:type="dxa"/>
            <w:bottom w:w="0" w:type="dxa"/>
            <w:right w:w="108" w:type="dxa"/>
          </w:tblCellMar>
        </w:tblPrEx>
        <w:trPr>
          <w:trHeight w:val="575" w:hRule="atLeast"/>
        </w:trPr>
        <w:tc>
          <w:tcPr>
            <w:tcW w:w="306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063"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6219"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299.64</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3336</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45.27</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3336</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45.27</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93.79</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575" w:hRule="atLeast"/>
        </w:trPr>
        <w:tc>
          <w:tcPr>
            <w:tcW w:w="306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0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219"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160.58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仿宋" w:hAnsi="仿宋" w:eastAsia="仿宋"/>
          <w:sz w:val="32"/>
          <w:szCs w:val="32"/>
        </w:rPr>
        <w:t>我部门没有安排政府性基金预算和国有资本经营预算财政拨款，特此说明。</w:t>
      </w:r>
    </w:p>
    <w:sectPr>
      <w:footerReference r:id="rId4" w:type="default"/>
      <w:pgSz w:w="16838" w:h="11906" w:orient="landscape"/>
      <w:pgMar w:top="1304" w:right="1134" w:bottom="1304" w:left="1984" w:header="851" w:footer="992" w:gutter="0"/>
      <w:cols w:space="0" w:num="1"/>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黑体">
    <w:panose1 w:val="02010609060101010101"/>
    <w:charset w:val="86"/>
    <w:family w:val="swiss"/>
    <w:pitch w:val="default"/>
    <w:sig w:usb0="800002BF" w:usb1="38CF7CFA" w:usb2="00000016" w:usb3="00000000" w:csb0="00040001" w:csb1="00000000"/>
  </w:font>
  <w:font w:name="仿宋">
    <w:panose1 w:val="02010609060101010101"/>
    <w:charset w:val="86"/>
    <w:family w:val="swiss"/>
    <w:pitch w:val="default"/>
    <w:sig w:usb0="800002BF" w:usb1="38CF7CFA" w:usb2="00000016" w:usb3="00000000" w:csb0="00040001" w:csb1="00000000"/>
  </w:font>
  <w:font w:name="方正小标宋简体">
    <w:panose1 w:val="00000600000000000000"/>
    <w:charset w:val="86"/>
    <w:family w:val="auto"/>
    <w:pitch w:val="default"/>
    <w:sig w:usb0="800002BF" w:usb1="184F6CF8" w:usb2="00000012" w:usb3="00000000" w:csb0="00160001" w:csb1="1203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modern"/>
    <w:pitch w:val="default"/>
    <w:sig w:usb0="00000001" w:usb1="080E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panose1 w:val="03000509000000000000"/>
    <w:charset w:val="86"/>
    <w:family w:val="modern"/>
    <w:pitch w:val="default"/>
    <w:sig w:usb0="00000001" w:usb1="080E0000" w:usb2="00000000" w:usb3="00000000" w:csb0="00040000" w:csb1="00000000"/>
  </w:font>
  <w:font w:name="仿宋_GB2312">
    <w:altName w:val="仿宋"/>
    <w:panose1 w:val="02010609030101010101"/>
    <w:charset w:val="86"/>
    <w:family w:val="swiss"/>
    <w:pitch w:val="default"/>
    <w:sig w:usb0="00000000" w:usb1="00000000" w:usb2="00000000" w:usb3="00000000" w:csb0="00040000" w:csb1="00000000"/>
  </w:font>
  <w:font w:name="方正小标宋_GBK">
    <w:panose1 w:val="03000509000000000000"/>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modern"/>
    <w:pitch w:val="default"/>
    <w:sig w:usb0="80000287" w:usb1="280F3C52" w:usb2="00000016" w:usb3="00000000" w:csb0="0004001F" w:csb1="00000000"/>
  </w:font>
  <w:font w:name="方正仿宋_GBK">
    <w:panose1 w:val="03000509000000000000"/>
    <w:charset w:val="86"/>
    <w:family w:val="swiss"/>
    <w:pitch w:val="default"/>
    <w:sig w:usb0="00000001" w:usb1="080E0000" w:usb2="00000000" w:usb3="00000000" w:csb0="00040000" w:csb1="00000000"/>
  </w:font>
  <w:font w:name="方正书宋_GBK">
    <w:panose1 w:val="03000509000000000000"/>
    <w:charset w:val="86"/>
    <w:family w:val="swiss"/>
    <w:pitch w:val="default"/>
    <w:sig w:usb0="00000001" w:usb1="080E0000" w:usb2="0000000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方正小标宋_GBK">
    <w:panose1 w:val="03000509000000000000"/>
    <w:charset w:val="86"/>
    <w:family w:val="swiss"/>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decorative"/>
    <w:pitch w:val="default"/>
    <w:sig w:usb0="00000001" w:usb1="080E0000" w:usb2="00000000" w:usb3="00000000" w:csb0="00040000" w:csb1="00000000"/>
  </w:font>
  <w:font w:name="方正书宋_GBK">
    <w:panose1 w:val="03000509000000000000"/>
    <w:charset w:val="86"/>
    <w:family w:val="decorative"/>
    <w:pitch w:val="default"/>
    <w:sig w:usb0="00000001" w:usb1="080E0000" w:usb2="00000000" w:usb3="00000000" w:csb0="00040000" w:csb1="00000000"/>
  </w:font>
  <w:font w:name="仿宋_GB2312">
    <w:altName w:val="仿宋"/>
    <w:panose1 w:val="02010609030101010101"/>
    <w:charset w:val="86"/>
    <w:family w:val="roman"/>
    <w:pitch w:val="default"/>
    <w:sig w:usb0="00000000" w:usb1="00000000" w:usb2="00000000" w:usb3="00000000" w:csb0="00040000" w:csb1="00000000"/>
  </w:font>
  <w:font w:name="方正小标宋_GBK">
    <w:panose1 w:val="03000509000000000000"/>
    <w:charset w:val="86"/>
    <w:family w:val="decorative"/>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微软雅黑">
    <w:panose1 w:val="020B0503020204020204"/>
    <w:charset w:val="86"/>
    <w:family w:val="decorative"/>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11</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63"/>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75B28"/>
    <w:rsid w:val="000850C2"/>
    <w:rsid w:val="000C7140"/>
    <w:rsid w:val="001F3112"/>
    <w:rsid w:val="00323B29"/>
    <w:rsid w:val="0039059E"/>
    <w:rsid w:val="00532E4E"/>
    <w:rsid w:val="007F0341"/>
    <w:rsid w:val="008C21F1"/>
    <w:rsid w:val="009A521C"/>
    <w:rsid w:val="00D607DA"/>
    <w:rsid w:val="00DC6EE5"/>
    <w:rsid w:val="00DD7790"/>
    <w:rsid w:val="00E945A0"/>
    <w:rsid w:val="00EE71BA"/>
    <w:rsid w:val="00F867E4"/>
    <w:rsid w:val="056D17C0"/>
    <w:rsid w:val="075611A2"/>
    <w:rsid w:val="08B52ED9"/>
    <w:rsid w:val="10C23233"/>
    <w:rsid w:val="11FF7400"/>
    <w:rsid w:val="1A3568DA"/>
    <w:rsid w:val="225A1019"/>
    <w:rsid w:val="238751E7"/>
    <w:rsid w:val="251E1D03"/>
    <w:rsid w:val="25630E9B"/>
    <w:rsid w:val="27913378"/>
    <w:rsid w:val="2DE11D05"/>
    <w:rsid w:val="2F110B98"/>
    <w:rsid w:val="2F4D34AD"/>
    <w:rsid w:val="304239D5"/>
    <w:rsid w:val="30EE0095"/>
    <w:rsid w:val="33684300"/>
    <w:rsid w:val="384A4F02"/>
    <w:rsid w:val="3D0C3AAC"/>
    <w:rsid w:val="49F3635E"/>
    <w:rsid w:val="4AA16F2A"/>
    <w:rsid w:val="4CF91360"/>
    <w:rsid w:val="4F806728"/>
    <w:rsid w:val="4FAF189D"/>
    <w:rsid w:val="51F826FC"/>
    <w:rsid w:val="57330B13"/>
    <w:rsid w:val="579700D6"/>
    <w:rsid w:val="5BE315E8"/>
    <w:rsid w:val="5ED6026A"/>
    <w:rsid w:val="62A90180"/>
    <w:rsid w:val="69064210"/>
    <w:rsid w:val="6BBD3AB0"/>
    <w:rsid w:val="6EBC064C"/>
    <w:rsid w:val="73CA7C3C"/>
    <w:rsid w:val="75137F44"/>
    <w:rsid w:val="75D84B67"/>
    <w:rsid w:val="76FB48BF"/>
    <w:rsid w:val="79BD560E"/>
    <w:rsid w:val="7A8B46A3"/>
    <w:rsid w:val="7DC90469"/>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 w:type="character" w:customStyle="1" w:styleId="14">
    <w:name w:val="font1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1119</Words>
  <Characters>6383</Characters>
  <Lines>53</Lines>
  <Paragraphs>14</Paragraphs>
  <TotalTime>0</TotalTime>
  <ScaleCrop>false</ScaleCrop>
  <LinksUpToDate>false</LinksUpToDate>
  <CharactersWithSpaces>7488</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2020-02-19T08:59:00Z</cp:lastPrinted>
  <dcterms:modified xsi:type="dcterms:W3CDTF">2023-11-06T02:49:16Z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