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深泽县社保局</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8年部门预算信息公开</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w:t>
      </w:r>
      <w:r>
        <w:rPr>
          <w:rFonts w:hint="eastAsia" w:ascii="仿宋" w:hAnsi="仿宋" w:eastAsia="仿宋" w:cs="Times New Roman"/>
          <w:sz w:val="32"/>
          <w:szCs w:val="32"/>
          <w:lang w:eastAsia="zh-CN"/>
        </w:rPr>
        <w:t>中华人民共和国</w:t>
      </w:r>
      <w:r>
        <w:rPr>
          <w:rFonts w:hint="eastAsia" w:ascii="仿宋" w:hAnsi="仿宋" w:eastAsia="仿宋" w:cs="Times New Roman"/>
          <w:sz w:val="32"/>
          <w:szCs w:val="32"/>
        </w:rPr>
        <w:t>预算法》</w:t>
      </w:r>
      <w:bookmarkStart w:id="3" w:name="_GoBack"/>
      <w:bookmarkEnd w:id="3"/>
      <w:r>
        <w:rPr>
          <w:rFonts w:hint="eastAsia" w:ascii="仿宋" w:hAnsi="仿宋" w:eastAsia="仿宋" w:cs="Times New Roman"/>
          <w:sz w:val="32"/>
          <w:szCs w:val="32"/>
        </w:rPr>
        <w:t>、《地方预决算公开操作规程》和《县级预算公开办法》规定，现将</w:t>
      </w:r>
      <w:r>
        <w:rPr>
          <w:rFonts w:ascii="仿宋" w:hAnsi="仿宋" w:eastAsia="仿宋" w:cs="Times New Roman"/>
          <w:sz w:val="32"/>
          <w:szCs w:val="32"/>
        </w:rPr>
        <w:t>201</w:t>
      </w:r>
      <w:r>
        <w:rPr>
          <w:rFonts w:hint="eastAsia" w:ascii="仿宋" w:hAnsi="仿宋" w:eastAsia="仿宋" w:cs="Times New Roman"/>
          <w:sz w:val="32"/>
          <w:szCs w:val="32"/>
        </w:rPr>
        <w:t>8年部门预算公开如下：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560"/>
        <w:rPr>
          <w:rFonts w:ascii="方正仿宋_GBK" w:eastAsia="方正仿宋_GBK"/>
          <w:sz w:val="28"/>
        </w:rPr>
      </w:pP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部门职责：</w:t>
      </w:r>
      <w:r>
        <w:rPr>
          <w:rFonts w:hint="eastAsia" w:ascii="方正仿宋_GBK" w:eastAsia="方正仿宋_GBK"/>
          <w:sz w:val="28"/>
        </w:rPr>
        <w:t>贯彻执行党和国家有关社会保险的路线、方针、政策和法律法规。负责辖区内参保单位和个人养老、工伤保险基金的征收、管理、审核、拨付工作。审核参保职工待遇享受条件、计算其待遇，按时足额发放各类社会保险金。</w:t>
      </w:r>
    </w:p>
    <w:p>
      <w:pPr>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b/>
              </w:rPr>
              <w:t>深泽县社会保险事业管理局</w:t>
            </w:r>
          </w:p>
        </w:tc>
        <w:tc>
          <w:tcPr>
            <w:tcW w:w="1134" w:type="dxa"/>
            <w:vAlign w:val="center"/>
          </w:tcPr>
          <w:p>
            <w:pPr>
              <w:spacing w:line="300" w:lineRule="exact"/>
              <w:jc w:val="left"/>
              <w:rPr>
                <w:rFonts w:ascii="方正书宋_GBK" w:eastAsia="方正书宋_GBK"/>
                <w:b/>
              </w:rPr>
            </w:pPr>
            <w:r>
              <w:rPr>
                <w:rFonts w:hint="eastAsia" w:ascii="方正书宋_GBK" w:eastAsia="方正书宋_GBK"/>
                <w:b/>
              </w:rPr>
              <w:t>事业</w:t>
            </w:r>
          </w:p>
        </w:tc>
        <w:tc>
          <w:tcPr>
            <w:tcW w:w="1276" w:type="dxa"/>
            <w:vAlign w:val="center"/>
          </w:tcPr>
          <w:p>
            <w:pPr>
              <w:spacing w:line="300" w:lineRule="exact"/>
              <w:jc w:val="left"/>
              <w:rPr>
                <w:rFonts w:ascii="方正书宋_GBK" w:eastAsia="方正书宋_GBK"/>
                <w:b/>
              </w:rPr>
            </w:pPr>
            <w:r>
              <w:rPr>
                <w:rFonts w:hint="eastAsia" w:ascii="方正书宋_GBK" w:eastAsia="方正书宋_GBK"/>
                <w:b/>
              </w:rPr>
              <w:t>正科级</w:t>
            </w:r>
          </w:p>
        </w:tc>
        <w:tc>
          <w:tcPr>
            <w:tcW w:w="2902" w:type="dxa"/>
            <w:vAlign w:val="center"/>
          </w:tcPr>
          <w:p>
            <w:pPr>
              <w:spacing w:line="300" w:lineRule="exact"/>
              <w:jc w:val="left"/>
              <w:rPr>
                <w:rFonts w:ascii="方正书宋_GBK" w:eastAsia="方正书宋_GBK"/>
                <w:b/>
              </w:rPr>
            </w:pPr>
            <w:r>
              <w:rPr>
                <w:rFonts w:hint="eastAsia" w:ascii="方正书宋_GBK" w:eastAsia="方正书宋_GBK"/>
                <w:b/>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 w:hAnsi="仿宋" w:eastAsia="仿宋" w:cs="Times New Roman"/>
          <w:sz w:val="32"/>
          <w:szCs w:val="32"/>
        </w:rPr>
      </w:pPr>
      <w:r>
        <w:rPr>
          <w:rFonts w:hint="eastAsia" w:ascii="仿宋" w:hAnsi="仿宋" w:eastAsia="仿宋" w:cs="Times New Roman"/>
          <w:sz w:val="32"/>
          <w:szCs w:val="32"/>
        </w:rPr>
        <w:t>按照预算管理有关规定，目前我县部门预算的编制实行综合预算制度，即全部收入和支出都反映的预算中。</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、收入说明</w:t>
      </w:r>
      <w:r>
        <w:rPr>
          <w:rFonts w:ascii="Times New Roman" w:hAnsi="Times New Roman" w:eastAsia="方正仿宋_GBK" w:cs="Times New Roman"/>
          <w:sz w:val="32"/>
          <w:szCs w:val="32"/>
        </w:rPr>
        <w:t xml:space="preserve"> </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深泽县社保局</w:t>
      </w:r>
      <w:r>
        <w:rPr>
          <w:rFonts w:ascii="仿宋" w:hAnsi="仿宋" w:eastAsia="仿宋" w:cs="仿宋_GB2312"/>
          <w:bCs/>
          <w:sz w:val="32"/>
          <w:szCs w:val="32"/>
        </w:rPr>
        <w:t>201</w:t>
      </w:r>
      <w:r>
        <w:rPr>
          <w:rFonts w:hint="eastAsia" w:ascii="仿宋" w:hAnsi="仿宋" w:eastAsia="仿宋" w:cs="仿宋_GB2312"/>
          <w:bCs/>
          <w:sz w:val="32"/>
          <w:szCs w:val="32"/>
        </w:rPr>
        <w:t>8年预算收入总计12388.68万元。其中：一般公共预算收入12388.68万元。</w:t>
      </w:r>
    </w:p>
    <w:p>
      <w:pPr>
        <w:numPr>
          <w:ilvl w:val="0"/>
          <w:numId w:val="1"/>
        </w:numPr>
        <w:ind w:firstLine="64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ascii="仿宋_GB2312" w:hAnsi="仿宋_GB2312" w:eastAsia="仿宋_GB2312" w:cs="仿宋_GB2312"/>
          <w:sz w:val="32"/>
          <w:szCs w:val="32"/>
        </w:rPr>
        <w:t xml:space="preserve"> </w:t>
      </w:r>
      <w:r>
        <w:rPr>
          <w:rFonts w:ascii="仿宋" w:hAnsi="仿宋" w:eastAsia="仿宋" w:cs="仿宋_GB2312"/>
          <w:bCs/>
          <w:sz w:val="32"/>
          <w:szCs w:val="32"/>
        </w:rPr>
        <w:t>201</w:t>
      </w:r>
      <w:r>
        <w:rPr>
          <w:rFonts w:hint="eastAsia" w:ascii="仿宋" w:hAnsi="仿宋" w:eastAsia="仿宋" w:cs="仿宋_GB2312"/>
          <w:bCs/>
          <w:sz w:val="32"/>
          <w:szCs w:val="32"/>
        </w:rPr>
        <w:t>8年预算支出12388.68万元。</w:t>
      </w:r>
      <w:r>
        <w:rPr>
          <w:rFonts w:hint="eastAsia" w:ascii="仿宋" w:hAnsi="仿宋" w:eastAsia="仿宋" w:cs="仿宋_GB2312"/>
          <w:sz w:val="32"/>
          <w:szCs w:val="32"/>
        </w:rPr>
        <w:t>其中基本支出332.58万元，包括</w:t>
      </w:r>
      <w:r>
        <w:rPr>
          <w:rFonts w:hint="eastAsia" w:ascii="仿宋" w:hAnsi="仿宋" w:eastAsia="仿宋" w:cs="仿宋_GB2312"/>
          <w:bCs/>
          <w:sz w:val="32"/>
          <w:szCs w:val="32"/>
        </w:rPr>
        <w:t>人员经费支出304.4万元，正常公用经费28.18万元；项目支出12056.1万元（其中本级项目支出12056.1万元，对下补助</w:t>
      </w:r>
      <w:r>
        <w:rPr>
          <w:rFonts w:ascii="仿宋" w:hAnsi="仿宋" w:eastAsia="仿宋" w:cs="仿宋_GB2312"/>
          <w:bCs/>
          <w:sz w:val="32"/>
          <w:szCs w:val="32"/>
        </w:rPr>
        <w:t>0</w:t>
      </w:r>
      <w:r>
        <w:rPr>
          <w:rFonts w:hint="eastAsia" w:ascii="仿宋" w:hAnsi="仿宋" w:eastAsia="仿宋" w:cs="仿宋_GB2312"/>
          <w:bCs/>
          <w:sz w:val="32"/>
          <w:szCs w:val="32"/>
        </w:rPr>
        <w:t>万元）。</w:t>
      </w:r>
    </w:p>
    <w:p>
      <w:pPr>
        <w:numPr>
          <w:ilvl w:val="0"/>
          <w:numId w:val="1"/>
        </w:numPr>
        <w:ind w:firstLine="640"/>
        <w:rPr>
          <w:rFonts w:ascii="仿宋" w:hAnsi="仿宋" w:eastAsia="仿宋"/>
          <w:sz w:val="32"/>
          <w:szCs w:val="32"/>
        </w:rPr>
      </w:pPr>
      <w:r>
        <w:rPr>
          <w:rFonts w:hint="eastAsia" w:ascii="仿宋" w:hAnsi="仿宋" w:eastAsia="仿宋"/>
          <w:sz w:val="32"/>
          <w:szCs w:val="32"/>
        </w:rPr>
        <w:t>比上年增减情况</w:t>
      </w:r>
    </w:p>
    <w:p>
      <w:pPr>
        <w:ind w:firstLine="630"/>
        <w:rPr>
          <w:rFonts w:ascii="仿宋" w:hAnsi="仿宋" w:eastAsia="仿宋" w:cs="仿宋_GB2312"/>
          <w:sz w:val="32"/>
          <w:szCs w:val="32"/>
        </w:rPr>
      </w:pPr>
      <w:r>
        <w:rPr>
          <w:rFonts w:ascii="仿宋" w:hAnsi="仿宋" w:eastAsia="仿宋" w:cs="仿宋_GB2312"/>
          <w:sz w:val="32"/>
          <w:szCs w:val="32"/>
        </w:rPr>
        <w:t>201</w:t>
      </w:r>
      <w:r>
        <w:rPr>
          <w:rFonts w:hint="eastAsia" w:ascii="仿宋" w:hAnsi="仿宋" w:eastAsia="仿宋" w:cs="仿宋_GB2312"/>
          <w:sz w:val="32"/>
          <w:szCs w:val="32"/>
        </w:rPr>
        <w:t>8年部门预算较</w:t>
      </w:r>
      <w:r>
        <w:rPr>
          <w:rFonts w:ascii="仿宋" w:hAnsi="仿宋" w:eastAsia="仿宋" w:cs="仿宋_GB2312"/>
          <w:sz w:val="32"/>
          <w:szCs w:val="32"/>
        </w:rPr>
        <w:t>201</w:t>
      </w:r>
      <w:r>
        <w:rPr>
          <w:rFonts w:hint="eastAsia" w:ascii="仿宋" w:hAnsi="仿宋" w:eastAsia="仿宋" w:cs="仿宋_GB2312"/>
          <w:sz w:val="32"/>
          <w:szCs w:val="32"/>
        </w:rPr>
        <w:t>7年增长5893.39万元，其中：基本支出增长54.99万元，主要是增加人员经费，项目支出增加5838.4万元。</w:t>
      </w:r>
    </w:p>
    <w:p>
      <w:pPr>
        <w:autoSpaceDE w:val="0"/>
        <w:autoSpaceDN w:val="0"/>
        <w:adjustRightInd w:val="0"/>
        <w:ind w:firstLine="800" w:firstLineChars="25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 w:hAnsi="仿宋" w:eastAsia="仿宋"/>
          <w:sz w:val="32"/>
          <w:szCs w:val="32"/>
        </w:rPr>
      </w:pPr>
      <w:r>
        <w:rPr>
          <w:rFonts w:ascii="仿宋" w:hAnsi="仿宋" w:eastAsia="仿宋"/>
          <w:sz w:val="32"/>
          <w:szCs w:val="32"/>
        </w:rPr>
        <w:t>201</w:t>
      </w:r>
      <w:r>
        <w:rPr>
          <w:rFonts w:hint="eastAsia" w:ascii="仿宋" w:hAnsi="仿宋" w:eastAsia="仿宋"/>
          <w:sz w:val="32"/>
          <w:szCs w:val="32"/>
        </w:rPr>
        <w:t>8年度我单位机关运行经费预算</w:t>
      </w:r>
      <w:r>
        <w:rPr>
          <w:rFonts w:hint="eastAsia" w:ascii="仿宋" w:hAnsi="仿宋" w:eastAsia="仿宋"/>
          <w:sz w:val="32"/>
          <w:szCs w:val="32"/>
          <w:lang w:val="en-US" w:eastAsia="zh-CN"/>
        </w:rPr>
        <w:t>28.18万元</w:t>
      </w:r>
      <w:r>
        <w:rPr>
          <w:rFonts w:hint="eastAsia" w:ascii="仿宋" w:hAnsi="仿宋" w:eastAsia="仿宋"/>
          <w:sz w:val="32"/>
          <w:szCs w:val="32"/>
        </w:rPr>
        <w:t>。其中：办公费、印刷费、邮电费、公务用车运行维护费、工会经费、福利费等支出。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ind w:firstLine="630"/>
        <w:rPr>
          <w:rFonts w:ascii="仿宋_GB2312" w:hAnsi="仿宋_GB2312" w:eastAsia="仿宋_GB2312" w:cs="仿宋_GB2312"/>
          <w:sz w:val="32"/>
          <w:szCs w:val="32"/>
        </w:rPr>
      </w:pPr>
      <w:r>
        <w:rPr>
          <w:rFonts w:ascii="仿宋" w:hAnsi="仿宋" w:eastAsia="仿宋" w:cs="仿宋_GB2312"/>
          <w:sz w:val="32"/>
          <w:szCs w:val="32"/>
        </w:rPr>
        <w:t>201</w:t>
      </w:r>
      <w:r>
        <w:rPr>
          <w:rFonts w:hint="eastAsia" w:ascii="仿宋" w:hAnsi="仿宋" w:eastAsia="仿宋" w:cs="仿宋_GB2312"/>
          <w:sz w:val="32"/>
          <w:szCs w:val="32"/>
        </w:rPr>
        <w:t>8年，财政拨款“三公”经费预算安排</w:t>
      </w:r>
      <w:r>
        <w:rPr>
          <w:rFonts w:ascii="仿宋" w:hAnsi="仿宋" w:eastAsia="仿宋" w:cs="仿宋_GB2312"/>
          <w:sz w:val="32"/>
          <w:szCs w:val="32"/>
        </w:rPr>
        <w:t>0.76</w:t>
      </w:r>
      <w:r>
        <w:rPr>
          <w:rFonts w:hint="eastAsia" w:ascii="仿宋" w:hAnsi="仿宋" w:eastAsia="仿宋" w:cs="仿宋_GB2312"/>
          <w:sz w:val="32"/>
          <w:szCs w:val="32"/>
        </w:rPr>
        <w:t>万元，与上年持平，无增减变化；其中：因公出国（境）费</w:t>
      </w:r>
      <w:r>
        <w:rPr>
          <w:rFonts w:ascii="仿宋" w:hAnsi="仿宋" w:eastAsia="仿宋" w:cs="仿宋_GB2312"/>
          <w:sz w:val="32"/>
          <w:szCs w:val="32"/>
        </w:rPr>
        <w:t>0</w:t>
      </w:r>
      <w:r>
        <w:rPr>
          <w:rFonts w:hint="eastAsia" w:ascii="仿宋" w:hAnsi="仿宋" w:eastAsia="仿宋" w:cs="仿宋_GB2312"/>
          <w:sz w:val="32"/>
          <w:szCs w:val="32"/>
        </w:rPr>
        <w:t>万元，与上年持平，无增减变化；公务用车购置及运维费</w:t>
      </w:r>
      <w:r>
        <w:rPr>
          <w:rFonts w:ascii="仿宋" w:hAnsi="仿宋" w:eastAsia="仿宋" w:cs="仿宋_GB2312"/>
          <w:sz w:val="32"/>
          <w:szCs w:val="32"/>
        </w:rPr>
        <w:t>0.76</w:t>
      </w:r>
      <w:r>
        <w:rPr>
          <w:rFonts w:hint="eastAsia" w:ascii="仿宋" w:hAnsi="仿宋" w:eastAsia="仿宋" w:cs="仿宋_GB2312"/>
          <w:sz w:val="32"/>
          <w:szCs w:val="32"/>
        </w:rPr>
        <w:t>万元（公务用车购置费</w:t>
      </w:r>
      <w:r>
        <w:rPr>
          <w:rFonts w:ascii="仿宋" w:hAnsi="仿宋" w:eastAsia="仿宋" w:cs="仿宋_GB2312"/>
          <w:sz w:val="32"/>
          <w:szCs w:val="32"/>
        </w:rPr>
        <w:t>0</w:t>
      </w:r>
      <w:r>
        <w:rPr>
          <w:rFonts w:hint="eastAsia" w:ascii="仿宋" w:hAnsi="仿宋" w:eastAsia="仿宋" w:cs="仿宋_GB2312"/>
          <w:sz w:val="32"/>
          <w:szCs w:val="32"/>
        </w:rPr>
        <w:t>万元、公务用运维费</w:t>
      </w:r>
      <w:r>
        <w:rPr>
          <w:rFonts w:ascii="仿宋" w:hAnsi="仿宋" w:eastAsia="仿宋" w:cs="仿宋_GB2312"/>
          <w:sz w:val="32"/>
          <w:szCs w:val="32"/>
        </w:rPr>
        <w:t>0.76</w:t>
      </w:r>
      <w:r>
        <w:rPr>
          <w:rFonts w:hint="eastAsia" w:ascii="仿宋" w:hAnsi="仿宋" w:eastAsia="仿宋" w:cs="仿宋_GB2312"/>
          <w:sz w:val="32"/>
          <w:szCs w:val="32"/>
        </w:rPr>
        <w:t>万元），与上年持平，无增减变化；公务接待费</w:t>
      </w:r>
      <w:r>
        <w:rPr>
          <w:rFonts w:ascii="仿宋" w:hAnsi="仿宋" w:eastAsia="仿宋" w:cs="仿宋_GB2312"/>
          <w:sz w:val="32"/>
          <w:szCs w:val="32"/>
        </w:rPr>
        <w:t>0</w:t>
      </w:r>
      <w:r>
        <w:rPr>
          <w:rFonts w:hint="eastAsia" w:ascii="仿宋" w:hAnsi="仿宋" w:eastAsia="仿宋" w:cs="仿宋_GB2312"/>
          <w:sz w:val="32"/>
          <w:szCs w:val="32"/>
        </w:rPr>
        <w:t>万元，与上年持平，无增减变化。</w:t>
      </w:r>
      <w:r>
        <w:rPr>
          <w:rFonts w:ascii="仿宋_GB2312" w:hAnsi="仿宋_GB2312" w:eastAsia="仿宋_GB2312" w:cs="仿宋_GB2312"/>
          <w:sz w:val="32"/>
          <w:szCs w:val="32"/>
        </w:rPr>
        <w:t xml:space="preserve"> </w:t>
      </w:r>
    </w:p>
    <w:p>
      <w:pPr>
        <w:autoSpaceDE w:val="0"/>
        <w:autoSpaceDN w:val="0"/>
        <w:adjustRightInd w:val="0"/>
        <w:ind w:firstLine="800" w:firstLineChars="25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803" w:firstLineChars="250"/>
        <w:jc w:val="left"/>
        <w:rPr>
          <w:rFonts w:hint="eastAsia" w:ascii="Times New Roman" w:hAnsi="Times New Roman" w:eastAsia="方正仿宋_GBK" w:cs="Times New Roman"/>
          <w:b/>
          <w:sz w:val="32"/>
          <w:szCs w:val="32"/>
          <w:lang w:eastAsia="zh-CN"/>
        </w:rPr>
      </w:pPr>
      <w:bookmarkStart w:id="0" w:name="_Toc471398463"/>
      <w:r>
        <w:rPr>
          <w:rFonts w:hint="eastAsia" w:ascii="Times New Roman" w:hAnsi="Times New Roman" w:eastAsia="方正仿宋_GBK" w:cs="Times New Roman"/>
          <w:b/>
          <w:sz w:val="32"/>
          <w:szCs w:val="32"/>
          <w:lang w:eastAsia="zh-CN"/>
        </w:rPr>
        <w:t>年度发展规划目标</w:t>
      </w:r>
    </w:p>
    <w:p>
      <w:pPr>
        <w:ind w:firstLine="800" w:firstLineChars="250"/>
        <w:jc w:val="left"/>
        <w:rPr>
          <w:rFonts w:hint="eastAsia" w:ascii="Times New Roman" w:hAnsi="Times New Roman" w:eastAsia="方正仿宋_GBK" w:cs="Times New Roman"/>
          <w:b w:val="0"/>
          <w:bCs/>
          <w:sz w:val="32"/>
          <w:szCs w:val="32"/>
        </w:rPr>
      </w:pPr>
      <w:r>
        <w:rPr>
          <w:rFonts w:hint="eastAsia" w:ascii="Times New Roman" w:hAnsi="Times New Roman" w:eastAsia="方正仿宋_GBK" w:cs="Times New Roman"/>
          <w:b w:val="0"/>
          <w:bCs/>
          <w:sz w:val="32"/>
          <w:szCs w:val="32"/>
        </w:rPr>
        <w:t>总体</w:t>
      </w:r>
      <w:r>
        <w:rPr>
          <w:rFonts w:hint="eastAsia" w:ascii="Times New Roman" w:hAnsi="Times New Roman" w:eastAsia="方正仿宋_GBK" w:cs="Times New Roman"/>
          <w:b w:val="0"/>
          <w:bCs/>
          <w:sz w:val="32"/>
          <w:szCs w:val="32"/>
          <w:lang w:eastAsia="zh-CN"/>
        </w:rPr>
        <w:t>绩效</w:t>
      </w:r>
      <w:r>
        <w:rPr>
          <w:rFonts w:hint="eastAsia" w:ascii="Times New Roman" w:hAnsi="Times New Roman" w:eastAsia="方正仿宋_GBK" w:cs="Times New Roman"/>
          <w:b w:val="0"/>
          <w:bCs/>
          <w:sz w:val="32"/>
          <w:szCs w:val="32"/>
        </w:rPr>
        <w:t>目标：</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rPr>
      </w:pPr>
      <w:r>
        <w:rPr>
          <w:rFonts w:hint="eastAsia" w:ascii="仿宋" w:hAnsi="仿宋" w:eastAsia="仿宋"/>
          <w:sz w:val="32"/>
        </w:rPr>
        <w:t xml:space="preserve"> 1、贯彻执行党和国家有关社会保险的路线、方针、政策和法律法规。</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rPr>
      </w:pPr>
      <w:r>
        <w:rPr>
          <w:rFonts w:hint="eastAsia" w:ascii="仿宋" w:hAnsi="仿宋" w:eastAsia="仿宋"/>
          <w:sz w:val="32"/>
        </w:rPr>
        <w:t xml:space="preserve"> 2、完成参保单位和个人养老、工伤保险基金的征收、管理、审核、拨付工作，征缴率达到90%以上。</w:t>
      </w:r>
    </w:p>
    <w:p>
      <w:pPr>
        <w:pStyle w:val="11"/>
        <w:widowControl/>
        <w:spacing w:beforeLines="0" w:afterLines="0"/>
        <w:rPr>
          <w:rFonts w:hint="eastAsia" w:ascii="仿宋" w:hAnsi="仿宋" w:eastAsia="仿宋"/>
          <w:sz w:val="32"/>
        </w:rPr>
      </w:pPr>
      <w:r>
        <w:rPr>
          <w:rFonts w:hint="eastAsia" w:ascii="仿宋" w:hAnsi="仿宋" w:eastAsia="仿宋"/>
          <w:sz w:val="32"/>
        </w:rPr>
        <w:t xml:space="preserve">    3、审核参保职工待遇享受条件、计算其待遇，按时足额发放各类社会保险金，发放率达到100%。</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lang w:eastAsia="zh-CN"/>
        </w:rPr>
      </w:pPr>
      <w:r>
        <w:rPr>
          <w:rFonts w:hint="eastAsia" w:ascii="仿宋" w:hAnsi="仿宋" w:eastAsia="仿宋"/>
          <w:sz w:val="32"/>
          <w:lang w:eastAsia="zh-CN"/>
        </w:rPr>
        <w:t>职责分类绩效目标：</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szCs w:val="22"/>
        </w:rPr>
      </w:pPr>
      <w:r>
        <w:rPr>
          <w:rFonts w:hint="eastAsia" w:ascii="仿宋" w:hAnsi="仿宋" w:eastAsia="仿宋"/>
          <w:sz w:val="32"/>
          <w:szCs w:val="22"/>
        </w:rPr>
        <w:t xml:space="preserve"> 1、全面开展参保登记，扩大各项保险的覆盖面，及时足额落实社会保险待遇。</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szCs w:val="22"/>
        </w:rPr>
      </w:pPr>
      <w:r>
        <w:rPr>
          <w:rFonts w:hint="eastAsia" w:ascii="仿宋" w:hAnsi="仿宋" w:eastAsia="仿宋"/>
          <w:sz w:val="32"/>
          <w:szCs w:val="22"/>
        </w:rPr>
        <w:t xml:space="preserve"> 2、完成养老保险扩面征缴任务，确保养老金按时足额发放，防范基金风险，确保参保人员权益。征缴率达到90%以上，养老金发放率达到100%。</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szCs w:val="22"/>
        </w:rPr>
      </w:pPr>
      <w:r>
        <w:rPr>
          <w:rFonts w:hint="eastAsia" w:ascii="仿宋" w:hAnsi="仿宋" w:eastAsia="仿宋"/>
          <w:sz w:val="32"/>
          <w:szCs w:val="22"/>
        </w:rPr>
        <w:t xml:space="preserve"> 3、提高工伤保险参保率，确保工伤保险待遇落实到位。</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szCs w:val="22"/>
        </w:rPr>
      </w:pPr>
      <w:r>
        <w:rPr>
          <w:rFonts w:hint="eastAsia" w:ascii="仿宋" w:hAnsi="仿宋" w:eastAsia="仿宋"/>
          <w:sz w:val="32"/>
          <w:szCs w:val="22"/>
        </w:rPr>
        <w:t xml:space="preserve"> 4、按时完成2018年度城乡居民养老保险征缴及待遇资格认证工作，做好宣传部署，认真排查，避免养老金冒领现象的发生。</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b/>
          <w:bCs/>
          <w:sz w:val="32"/>
          <w:lang w:eastAsia="zh-CN"/>
        </w:rPr>
      </w:pPr>
      <w:r>
        <w:rPr>
          <w:rFonts w:hint="eastAsia" w:ascii="仿宋" w:hAnsi="仿宋" w:eastAsia="仿宋"/>
          <w:b/>
          <w:bCs/>
          <w:sz w:val="32"/>
          <w:lang w:eastAsia="zh-CN"/>
        </w:rPr>
        <w:t>实现年度发展规划目标的保障措施：</w:t>
      </w:r>
    </w:p>
    <w:p>
      <w:pPr>
        <w:pStyle w:val="11"/>
        <w:keepNext w:val="0"/>
        <w:keepLines w:val="0"/>
        <w:pageBreakBefore w:val="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kinsoku/>
        <w:wordWrap/>
        <w:overflowPunct/>
        <w:topLinePunct w:val="0"/>
        <w:autoSpaceDE w:val="0"/>
        <w:autoSpaceDN w:val="0"/>
        <w:bidi w:val="0"/>
        <w:adjustRightInd w:val="0"/>
        <w:snapToGrid/>
        <w:spacing w:beforeLines="0" w:afterLines="0" w:line="240" w:lineRule="auto"/>
        <w:ind w:left="0" w:leftChars="0" w:right="0" w:rightChars="0" w:firstLine="560" w:firstLineChars="0"/>
        <w:jc w:val="both"/>
        <w:textAlignment w:val="auto"/>
        <w:outlineLvl w:val="9"/>
        <w:rPr>
          <w:rFonts w:hint="eastAsia" w:ascii="仿宋" w:hAnsi="仿宋" w:eastAsia="仿宋"/>
          <w:sz w:val="32"/>
          <w:szCs w:val="22"/>
        </w:rPr>
      </w:pPr>
      <w:r>
        <w:rPr>
          <w:rFonts w:hint="eastAsia" w:ascii="仿宋" w:hAnsi="仿宋" w:eastAsia="仿宋"/>
          <w:sz w:val="32"/>
          <w:szCs w:val="22"/>
        </w:rPr>
        <w:t>1、认真执行参保政策，强化保险基金征缴，进一步推广“第三方”缴费平台和“网络申报”的应用，建立多层次缴费平台，引导和激励参保人员积极主动缴费，增强基金支撑能力建立健全高效运转的社会保险经办管理服务体系。</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560"/>
        <w:jc w:val="both"/>
        <w:rPr>
          <w:rFonts w:hint="eastAsia" w:ascii="仿宋" w:hAnsi="仿宋" w:eastAsia="仿宋"/>
          <w:sz w:val="32"/>
          <w:szCs w:val="22"/>
        </w:rPr>
      </w:pPr>
      <w:r>
        <w:rPr>
          <w:rFonts w:hint="eastAsia" w:ascii="仿宋" w:hAnsi="仿宋" w:eastAsia="仿宋"/>
          <w:sz w:val="32"/>
          <w:szCs w:val="22"/>
        </w:rPr>
        <w:t>2、推进社会养老保险政策落实，将因各种原因未参加职工养老保险的企业职工纳入制度中，妥善解决历史遗留问题，将符合条件人员全部纳入社会养老保险覆盖范围，实现养老保险制度的全覆盖。</w:t>
      </w:r>
    </w:p>
    <w:p>
      <w:pPr>
        <w:pStyle w:val="11"/>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Lines="0" w:afterLines="0"/>
        <w:ind w:firstLine="320" w:firstLineChars="100"/>
        <w:jc w:val="both"/>
        <w:rPr>
          <w:rFonts w:hint="eastAsia" w:ascii="Times New Roman" w:hAnsi="Times New Roman" w:eastAsia="方正仿宋_GBK" w:cs="Times New Roman"/>
          <w:b/>
          <w:sz w:val="32"/>
          <w:szCs w:val="32"/>
        </w:rPr>
      </w:pPr>
      <w:r>
        <w:rPr>
          <w:rFonts w:hint="eastAsia" w:ascii="仿宋" w:hAnsi="仿宋" w:eastAsia="仿宋"/>
          <w:sz w:val="32"/>
          <w:szCs w:val="22"/>
        </w:rPr>
        <w:t xml:space="preserve"> 3、加强城乡居民社会养老保险的舆论宣传，引导农民和城镇居民自愿参保缴费，多缴、长缴。不断完善城乡居民社会养老保险的各项政策措施，不断建设更加规范化、标准化的城乡居民社会养老保险业务经办流程,探索财政、社会、团体对特殊群体参保人员的投入，提高特殊群体的养老金待遇水平。</w:t>
      </w:r>
    </w:p>
    <w:p>
      <w:pPr>
        <w:jc w:val="left"/>
        <w:rPr>
          <w:rFonts w:ascii="仿宋_GB2312" w:hAnsi="仿宋_GB2312" w:eastAsia="仿宋_GB2312" w:cs="仿宋_GB2312"/>
          <w:sz w:val="32"/>
          <w:szCs w:val="32"/>
        </w:rPr>
      </w:pPr>
      <w:r>
        <w:rPr>
          <w:rFonts w:ascii="仿宋_GB2312" w:hAnsi="仿宋_GB2312" w:eastAsia="仿宋_GB2312" w:cs="仿宋_GB2312"/>
          <w:sz w:val="32"/>
          <w:szCs w:val="32"/>
        </w:rPr>
        <w:t xml:space="preserve">    </w:t>
      </w:r>
      <w:r>
        <w:rPr>
          <w:rFonts w:hint="eastAsia" w:ascii="黑体" w:hAnsi="黑体" w:eastAsia="黑体"/>
          <w:b/>
          <w:sz w:val="32"/>
          <w:szCs w:val="32"/>
        </w:rPr>
        <w:t>部门职责及工作活动绩效目标指标：</w:t>
      </w:r>
    </w:p>
    <w:p>
      <w:pPr>
        <w:jc w:val="center"/>
        <w:outlineLvl w:val="0"/>
        <w:rPr>
          <w:rFonts w:ascii="方正小标宋_GBK" w:hAnsi="Times New Roman" w:eastAsia="方正小标宋_GBK" w:cs="Times New Roman"/>
          <w:sz w:val="32"/>
          <w:szCs w:val="24"/>
        </w:rPr>
      </w:pPr>
    </w:p>
    <w:bookmarkEnd w:id="0"/>
    <w:p>
      <w:pPr>
        <w:jc w:val="center"/>
        <w:outlineLvl w:val="0"/>
        <w:rPr>
          <w:rFonts w:hint="eastAsia" w:ascii="方正小标宋_GBK" w:eastAsia="方正小标宋_GBK"/>
          <w:sz w:val="32"/>
        </w:rPr>
      </w:pPr>
      <w:bookmarkStart w:id="1" w:name="_Toc504702531"/>
      <w:r>
        <w:rPr>
          <w:rFonts w:hint="eastAsia" w:ascii="方正小标宋_GBK" w:eastAsia="方正小标宋_GBK"/>
          <w:sz w:val="32"/>
        </w:rPr>
        <w:t>部门职责-工作活动绩效目标</w:t>
      </w:r>
      <w:bookmarkEnd w:id="1"/>
    </w:p>
    <w:tbl>
      <w:tblPr>
        <w:tblStyle w:val="7"/>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329</w:t>
            </w:r>
            <w:r>
              <w:rPr>
                <w:rFonts w:hint="eastAsia" w:ascii="方正小标宋_GBK" w:eastAsia="方正小标宋_GBK"/>
                <w:sz w:val="24"/>
              </w:rPr>
              <w:t>深泽县社会保险事业管理局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社会保险政策实施及管理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12056.10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制定我县养老、工伤保险实施措施并推动落实。同时，对全县社保基金征缴、支付、管理进行监管。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全面开展参保登记，扩大各项保险的覆盖面，及时足额落实社会保险待遇。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养老保险政策实施及管理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12056.10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落实职工基本养老保险政策、城乡居民养老保险政策和机关事业单位人员养老保险制度改革配套政策。</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完成养老保险扩面征缴任务，确保养老金按时足额发放，防范基金风险，确保参保人员权益。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养老金征缴任务完成率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养老金发放到位率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养老金扩面任务完成率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工伤保险政策实施及管理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负责县级工伤保险征缴及赔付工作。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提高工伤保险参保率，确保工伤保险待遇落实到位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已参保的工伤保险待遇到位率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工伤保险国家计划完成率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Times New Roman"/>
          <w:sz w:val="32"/>
          <w:szCs w:val="24"/>
        </w:rPr>
      </w:pPr>
      <w:bookmarkStart w:id="2" w:name="_Toc471398468"/>
      <w:r>
        <w:rPr>
          <w:rFonts w:ascii="Times New Roman" w:hAnsi="Times New Roman" w:eastAsia="方正仿宋_GBK" w:cs="Times New Roman"/>
          <w:sz w:val="32"/>
          <w:szCs w:val="24"/>
        </w:rPr>
        <w:t xml:space="preserve">    </w:t>
      </w:r>
      <w:r>
        <w:rPr>
          <w:rFonts w:ascii="仿宋" w:hAnsi="仿宋" w:eastAsia="仿宋" w:cs="Times New Roman"/>
          <w:sz w:val="32"/>
          <w:szCs w:val="24"/>
        </w:rPr>
        <w:t>201</w:t>
      </w:r>
      <w:r>
        <w:rPr>
          <w:rFonts w:hint="eastAsia" w:ascii="仿宋" w:hAnsi="仿宋" w:eastAsia="仿宋" w:cs="Times New Roman"/>
          <w:sz w:val="32"/>
          <w:szCs w:val="24"/>
        </w:rPr>
        <w:t>8年我单位没有安排政府采购预算，政府采购预算金额为</w:t>
      </w:r>
      <w:r>
        <w:rPr>
          <w:rFonts w:ascii="仿宋" w:hAnsi="仿宋" w:eastAsia="仿宋" w:cs="Times New Roman"/>
          <w:sz w:val="32"/>
          <w:szCs w:val="24"/>
        </w:rPr>
        <w:t>0</w:t>
      </w:r>
      <w:r>
        <w:rPr>
          <w:rFonts w:hint="eastAsia" w:ascii="仿宋" w:hAnsi="仿宋" w:eastAsia="仿宋" w:cs="Times New Roman"/>
          <w:sz w:val="32"/>
          <w:szCs w:val="24"/>
        </w:rPr>
        <w:t>万元。</w:t>
      </w:r>
      <w:bookmarkEnd w:id="2"/>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sz w:val="32"/>
          <w:szCs w:val="32"/>
        </w:rPr>
      </w:pPr>
      <w:r>
        <w:rPr>
          <w:rFonts w:hint="eastAsia"/>
          <w:sz w:val="32"/>
          <w:szCs w:val="32"/>
        </w:rPr>
        <w:t>上年末固定资产</w:t>
      </w:r>
      <w:r>
        <w:rPr>
          <w:sz w:val="32"/>
          <w:szCs w:val="32"/>
        </w:rPr>
        <w:t>14</w:t>
      </w:r>
      <w:r>
        <w:rPr>
          <w:rFonts w:hint="eastAsia"/>
          <w:sz w:val="32"/>
          <w:szCs w:val="32"/>
        </w:rPr>
        <w:t>8万元。本年度拟购置的固定资产为</w:t>
      </w:r>
      <w:r>
        <w:rPr>
          <w:sz w:val="32"/>
          <w:szCs w:val="32"/>
        </w:rPr>
        <w:t>0</w:t>
      </w:r>
      <w:r>
        <w:rPr>
          <w:rFonts w:hint="eastAsia"/>
          <w:sz w:val="32"/>
          <w:szCs w:val="32"/>
        </w:rPr>
        <w:t>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hint="eastAsia" w:ascii="宋体" w:hAnsi="宋体" w:cs="宋体"/>
                <w:b/>
                <w:bCs/>
                <w:kern w:val="0"/>
                <w:sz w:val="32"/>
                <w:szCs w:val="32"/>
              </w:rPr>
            </w:pPr>
          </w:p>
          <w:p>
            <w:pPr>
              <w:widowControl/>
              <w:jc w:val="center"/>
              <w:rPr>
                <w:rFonts w:hint="eastAsia" w:ascii="宋体" w:hAnsi="宋体" w:cs="宋体"/>
                <w:b/>
                <w:bCs/>
                <w:kern w:val="0"/>
                <w:sz w:val="32"/>
                <w:szCs w:val="32"/>
              </w:rPr>
            </w:pPr>
          </w:p>
          <w:p>
            <w:pPr>
              <w:widowControl/>
              <w:jc w:val="center"/>
              <w:rPr>
                <w:rFonts w:hint="eastAsia" w:ascii="宋体" w:hAnsi="宋体" w:cs="宋体"/>
                <w:b/>
                <w:bCs/>
                <w:kern w:val="0"/>
                <w:sz w:val="32"/>
                <w:szCs w:val="32"/>
              </w:rPr>
            </w:pPr>
          </w:p>
          <w:p>
            <w:pPr>
              <w:widowControl/>
              <w:jc w:val="center"/>
              <w:rPr>
                <w:rFonts w:hint="eastAsia"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深泽县</w:t>
            </w:r>
            <w:r>
              <w:rPr>
                <w:rFonts w:hint="eastAsia" w:ascii="宋体" w:hAnsi="宋体" w:cs="宋体"/>
                <w:b/>
                <w:bCs/>
                <w:kern w:val="0"/>
                <w:sz w:val="32"/>
                <w:szCs w:val="32"/>
                <w:lang w:eastAsia="zh-CN"/>
              </w:rPr>
              <w:t>社会保险事业管理局</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w:t>
            </w:r>
            <w:r>
              <w:rPr>
                <w:rFonts w:hint="eastAsia" w:ascii="宋体" w:hAnsi="宋体" w:cs="宋体"/>
                <w:kern w:val="0"/>
                <w:sz w:val="22"/>
                <w:lang w:val="en-US" w:eastAsia="zh-CN"/>
              </w:rPr>
              <w:t>329深泽县社会保险事业管理局</w:t>
            </w:r>
          </w:p>
        </w:tc>
        <w:tc>
          <w:tcPr>
            <w:tcW w:w="5103"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截止时间：2017年12月31日  </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148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3</w:t>
            </w: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32.5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115.5</w:t>
            </w:r>
          </w:p>
        </w:tc>
      </w:tr>
    </w:tbl>
    <w:p>
      <w:pPr>
        <w:ind w:firstLine="640"/>
        <w:rPr>
          <w:rFonts w:ascii="仿宋_GB2312" w:hAnsi="黑体" w:eastAsia="仿宋_GB2312" w:cs="Times New Roman"/>
          <w:color w:val="FF0000"/>
          <w:sz w:val="32"/>
          <w:szCs w:val="32"/>
        </w:rPr>
      </w:pPr>
    </w:p>
    <w:p>
      <w:pPr>
        <w:numPr>
          <w:ilvl w:val="0"/>
          <w:numId w:val="2"/>
        </w:num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名词解释</w:t>
      </w:r>
    </w:p>
    <w:p>
      <w:pPr>
        <w:ind w:firstLine="560"/>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、一般预算收入：县级及以上财政当年拨付的资金。</w:t>
      </w:r>
    </w:p>
    <w:p>
      <w:pPr>
        <w:ind w:firstLine="56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、基本支出：为保障机构正常运转，完成日常工作任务，而发生的人员支出和公用支出。</w:t>
      </w:r>
    </w:p>
    <w:p>
      <w:pPr>
        <w:ind w:firstLine="560"/>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、项目支出：是指在基本支出之外，为完成特定行政任务和事业发展目标，而发生的支出。</w:t>
      </w:r>
    </w:p>
    <w:p>
      <w:pPr>
        <w:ind w:firstLine="560"/>
        <w:rPr>
          <w:rFonts w:ascii="仿宋" w:hAnsi="仿宋" w:eastAsia="仿宋" w:cs="仿宋_GB2312"/>
          <w:sz w:val="32"/>
          <w:szCs w:val="32"/>
        </w:rPr>
      </w:pPr>
      <w:r>
        <w:rPr>
          <w:rFonts w:ascii="仿宋" w:hAnsi="仿宋" w:eastAsia="仿宋" w:cs="仿宋_GB2312"/>
          <w:sz w:val="32"/>
          <w:szCs w:val="32"/>
        </w:rPr>
        <w:t>4</w:t>
      </w:r>
      <w:r>
        <w:rPr>
          <w:rFonts w:hint="eastAsia" w:ascii="仿宋" w:hAnsi="仿宋" w:eastAsia="仿宋" w:cs="仿宋_GB2312"/>
          <w:sz w:val="32"/>
          <w:szCs w:val="32"/>
        </w:rPr>
        <w:t>、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pPr>
        <w:autoSpaceDE w:val="0"/>
        <w:autoSpaceDN w:val="0"/>
        <w:adjustRightInd w:val="0"/>
        <w:ind w:left="420" w:leftChars="200" w:firstLine="640" w:firstLineChars="200"/>
        <w:jc w:val="left"/>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r>
        <w:rPr>
          <w:rFonts w:hint="eastAsia" w:ascii="仿宋" w:hAnsi="仿宋" w:eastAsia="仿宋"/>
          <w:sz w:val="32"/>
        </w:rPr>
        <w:t>我单位没有安排政府性基金预算和国有资本经营预算财政拨款，特此说明。</w:t>
      </w:r>
    </w:p>
    <w:sectPr>
      <w:head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818F2D"/>
    <w:multiLevelType w:val="singleLevel"/>
    <w:tmpl w:val="58818F2D"/>
    <w:lvl w:ilvl="0" w:tentative="0">
      <w:start w:val="2"/>
      <w:numFmt w:val="decimal"/>
      <w:suff w:val="nothing"/>
      <w:lvlText w:val="%1、"/>
      <w:lvlJc w:val="left"/>
      <w:rPr>
        <w:rFonts w:cs="Times New Roman"/>
      </w:rPr>
    </w:lvl>
  </w:abstractNum>
  <w:abstractNum w:abstractNumId="1">
    <w:nsid w:val="5881B3F2"/>
    <w:multiLevelType w:val="singleLevel"/>
    <w:tmpl w:val="5881B3F2"/>
    <w:lvl w:ilvl="0" w:tentative="0">
      <w:start w:val="8"/>
      <w:numFmt w:val="chineseCounting"/>
      <w:suff w:val="nothing"/>
      <w:lvlText w:val="%1、"/>
      <w:lvlJc w:val="left"/>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37AF6"/>
    <w:rsid w:val="00057DDA"/>
    <w:rsid w:val="000651E5"/>
    <w:rsid w:val="00075D5F"/>
    <w:rsid w:val="000B3E8D"/>
    <w:rsid w:val="000C3A19"/>
    <w:rsid w:val="000C4F5C"/>
    <w:rsid w:val="000D57B7"/>
    <w:rsid w:val="000F7712"/>
    <w:rsid w:val="001245BB"/>
    <w:rsid w:val="0019789E"/>
    <w:rsid w:val="001A4790"/>
    <w:rsid w:val="00224B52"/>
    <w:rsid w:val="002349A6"/>
    <w:rsid w:val="00241FD4"/>
    <w:rsid w:val="00251B12"/>
    <w:rsid w:val="002870BC"/>
    <w:rsid w:val="00296113"/>
    <w:rsid w:val="002A1013"/>
    <w:rsid w:val="002F3E58"/>
    <w:rsid w:val="0030542C"/>
    <w:rsid w:val="00311B7A"/>
    <w:rsid w:val="00312B96"/>
    <w:rsid w:val="00313267"/>
    <w:rsid w:val="00314C7B"/>
    <w:rsid w:val="00425F48"/>
    <w:rsid w:val="0043595E"/>
    <w:rsid w:val="00443C5F"/>
    <w:rsid w:val="00451871"/>
    <w:rsid w:val="00472923"/>
    <w:rsid w:val="004A0948"/>
    <w:rsid w:val="004A5A23"/>
    <w:rsid w:val="004A715B"/>
    <w:rsid w:val="004C3211"/>
    <w:rsid w:val="004E3066"/>
    <w:rsid w:val="004E74CD"/>
    <w:rsid w:val="0052691C"/>
    <w:rsid w:val="00535578"/>
    <w:rsid w:val="0056781E"/>
    <w:rsid w:val="00573562"/>
    <w:rsid w:val="00582198"/>
    <w:rsid w:val="00594119"/>
    <w:rsid w:val="005A3E26"/>
    <w:rsid w:val="005A4A9E"/>
    <w:rsid w:val="00614A29"/>
    <w:rsid w:val="006403F9"/>
    <w:rsid w:val="006449B8"/>
    <w:rsid w:val="006A5C69"/>
    <w:rsid w:val="006B43CA"/>
    <w:rsid w:val="006E3FDA"/>
    <w:rsid w:val="00715F78"/>
    <w:rsid w:val="0075393C"/>
    <w:rsid w:val="00776C08"/>
    <w:rsid w:val="00787B4E"/>
    <w:rsid w:val="007A14D8"/>
    <w:rsid w:val="007C0788"/>
    <w:rsid w:val="007E1DA8"/>
    <w:rsid w:val="007F6C26"/>
    <w:rsid w:val="008334AE"/>
    <w:rsid w:val="00836FED"/>
    <w:rsid w:val="00845CD2"/>
    <w:rsid w:val="00852B0D"/>
    <w:rsid w:val="00872BDD"/>
    <w:rsid w:val="00881692"/>
    <w:rsid w:val="008839A7"/>
    <w:rsid w:val="0088584A"/>
    <w:rsid w:val="00887B5F"/>
    <w:rsid w:val="008B3CC5"/>
    <w:rsid w:val="008D1B21"/>
    <w:rsid w:val="008E4261"/>
    <w:rsid w:val="008F3E86"/>
    <w:rsid w:val="008F4662"/>
    <w:rsid w:val="00905D08"/>
    <w:rsid w:val="00912D33"/>
    <w:rsid w:val="00917C85"/>
    <w:rsid w:val="00925753"/>
    <w:rsid w:val="00933D5B"/>
    <w:rsid w:val="00966C5C"/>
    <w:rsid w:val="00973104"/>
    <w:rsid w:val="00974104"/>
    <w:rsid w:val="00995168"/>
    <w:rsid w:val="009D6988"/>
    <w:rsid w:val="009F5740"/>
    <w:rsid w:val="00A02C1F"/>
    <w:rsid w:val="00A03F7E"/>
    <w:rsid w:val="00A440C9"/>
    <w:rsid w:val="00A72D2E"/>
    <w:rsid w:val="00A911E7"/>
    <w:rsid w:val="00A939D9"/>
    <w:rsid w:val="00AB1E63"/>
    <w:rsid w:val="00B20712"/>
    <w:rsid w:val="00B2728E"/>
    <w:rsid w:val="00B43238"/>
    <w:rsid w:val="00B75216"/>
    <w:rsid w:val="00B806F5"/>
    <w:rsid w:val="00B91D52"/>
    <w:rsid w:val="00BA1ACD"/>
    <w:rsid w:val="00BB443A"/>
    <w:rsid w:val="00C14EB9"/>
    <w:rsid w:val="00C46F91"/>
    <w:rsid w:val="00C72AF8"/>
    <w:rsid w:val="00CA7176"/>
    <w:rsid w:val="00CC163D"/>
    <w:rsid w:val="00CD15CC"/>
    <w:rsid w:val="00CD2773"/>
    <w:rsid w:val="00CE1171"/>
    <w:rsid w:val="00CE143B"/>
    <w:rsid w:val="00D22BF3"/>
    <w:rsid w:val="00D64BF8"/>
    <w:rsid w:val="00D74B13"/>
    <w:rsid w:val="00D923AE"/>
    <w:rsid w:val="00DE56C0"/>
    <w:rsid w:val="00DE6FF8"/>
    <w:rsid w:val="00E15234"/>
    <w:rsid w:val="00E167C7"/>
    <w:rsid w:val="00E34C06"/>
    <w:rsid w:val="00EA7AE0"/>
    <w:rsid w:val="00EB4C10"/>
    <w:rsid w:val="00EC2DA7"/>
    <w:rsid w:val="00EC47F6"/>
    <w:rsid w:val="00F07A5C"/>
    <w:rsid w:val="00F103E9"/>
    <w:rsid w:val="00F365E7"/>
    <w:rsid w:val="00F46AAA"/>
    <w:rsid w:val="00F61EC0"/>
    <w:rsid w:val="00F66032"/>
    <w:rsid w:val="00F76FE7"/>
    <w:rsid w:val="00F913B4"/>
    <w:rsid w:val="00F958C2"/>
    <w:rsid w:val="00FA0484"/>
    <w:rsid w:val="00FD20A3"/>
    <w:rsid w:val="00FF19E7"/>
    <w:rsid w:val="01FB23CB"/>
    <w:rsid w:val="08CF1E58"/>
    <w:rsid w:val="0B0D77B0"/>
    <w:rsid w:val="0C3D5924"/>
    <w:rsid w:val="0D9F1876"/>
    <w:rsid w:val="0FBD66C7"/>
    <w:rsid w:val="10ED36A0"/>
    <w:rsid w:val="114917E9"/>
    <w:rsid w:val="156D654D"/>
    <w:rsid w:val="15F42192"/>
    <w:rsid w:val="19C36DAA"/>
    <w:rsid w:val="1A5D684E"/>
    <w:rsid w:val="1ABE55EE"/>
    <w:rsid w:val="1AE07FFA"/>
    <w:rsid w:val="1D954D97"/>
    <w:rsid w:val="213A36C6"/>
    <w:rsid w:val="224E542E"/>
    <w:rsid w:val="26D37114"/>
    <w:rsid w:val="2A012DF7"/>
    <w:rsid w:val="2E413C08"/>
    <w:rsid w:val="303D4E30"/>
    <w:rsid w:val="316E2FA4"/>
    <w:rsid w:val="3507028C"/>
    <w:rsid w:val="3595643A"/>
    <w:rsid w:val="38E01BC5"/>
    <w:rsid w:val="3C512979"/>
    <w:rsid w:val="3CD42DDC"/>
    <w:rsid w:val="412E6FC3"/>
    <w:rsid w:val="41F60CA4"/>
    <w:rsid w:val="429960CF"/>
    <w:rsid w:val="45C76287"/>
    <w:rsid w:val="46C50A72"/>
    <w:rsid w:val="471D5503"/>
    <w:rsid w:val="492C0AE6"/>
    <w:rsid w:val="4A5B700A"/>
    <w:rsid w:val="4DF57B76"/>
    <w:rsid w:val="4E4F3D94"/>
    <w:rsid w:val="52EB75E5"/>
    <w:rsid w:val="541C1C0A"/>
    <w:rsid w:val="55145A25"/>
    <w:rsid w:val="55383E38"/>
    <w:rsid w:val="5911172D"/>
    <w:rsid w:val="59870472"/>
    <w:rsid w:val="5E731884"/>
    <w:rsid w:val="5E80655A"/>
    <w:rsid w:val="643B6F90"/>
    <w:rsid w:val="67706CC4"/>
    <w:rsid w:val="678A783D"/>
    <w:rsid w:val="685B7F7B"/>
    <w:rsid w:val="6C053E44"/>
    <w:rsid w:val="6CA86ED0"/>
    <w:rsid w:val="724C7A91"/>
    <w:rsid w:val="72617A36"/>
    <w:rsid w:val="7C2708CF"/>
    <w:rsid w:val="7EB2342C"/>
    <w:rsid w:val="7FBC791E"/>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semiHidden="0"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9"/>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toc 2"/>
    <w:basedOn w:val="1"/>
    <w:next w:val="1"/>
    <w:qFormat/>
    <w:uiPriority w:val="99"/>
    <w:pPr>
      <w:ind w:left="420" w:leftChars="200"/>
    </w:pPr>
    <w:rPr>
      <w:rFonts w:ascii="Times New Roman" w:hAnsi="Times New Roman" w:cs="Times New Roman"/>
      <w:szCs w:val="24"/>
    </w:rPr>
  </w:style>
  <w:style w:type="character" w:customStyle="1" w:styleId="8">
    <w:name w:val="页脚 Char"/>
    <w:basedOn w:val="6"/>
    <w:link w:val="2"/>
    <w:qFormat/>
    <w:locked/>
    <w:uiPriority w:val="99"/>
    <w:rPr>
      <w:rFonts w:ascii="Times New Roman" w:hAnsi="Times New Roman" w:eastAsia="宋体" w:cs="Times New Roman"/>
      <w:sz w:val="18"/>
      <w:szCs w:val="18"/>
    </w:rPr>
  </w:style>
  <w:style w:type="character" w:customStyle="1" w:styleId="9">
    <w:name w:val="页眉 Char"/>
    <w:basedOn w:val="6"/>
    <w:link w:val="3"/>
    <w:qFormat/>
    <w:locked/>
    <w:uiPriority w:val="99"/>
    <w:rPr>
      <w:rFonts w:ascii="Times New Roman" w:hAnsi="Times New Roman" w:eastAsia="宋体" w:cs="Times New Roman"/>
      <w:sz w:val="18"/>
      <w:szCs w:val="18"/>
    </w:rPr>
  </w:style>
  <w:style w:type="paragraph" w:customStyle="1" w:styleId="10">
    <w:name w:val="Standard"/>
    <w:unhideWhenUsed/>
    <w:qFormat/>
    <w:uiPriority w:val="99"/>
    <w:pPr>
      <w:autoSpaceDE w:val="0"/>
      <w:autoSpaceDN w:val="0"/>
      <w:adjustRightInd w:val="0"/>
      <w:spacing w:beforeLines="0" w:afterLines="0"/>
    </w:pPr>
    <w:rPr>
      <w:rFonts w:hint="default" w:ascii="Times New Roman" w:hAnsi="Times New Roman" w:eastAsia="Times New Roman" w:cs="Times New Roman"/>
      <w:sz w:val="20"/>
    </w:rPr>
  </w:style>
  <w:style w:type="paragraph" w:customStyle="1" w:styleId="11">
    <w:name w:val="[Normal]"/>
    <w:unhideWhenUsed/>
    <w:qFormat/>
    <w:uiPriority w:val="99"/>
    <w:pPr>
      <w:widowControl w:val="0"/>
      <w:autoSpaceDE w:val="0"/>
      <w:autoSpaceDN w:val="0"/>
      <w:adjustRightInd w:val="0"/>
      <w:spacing w:beforeLines="0" w:afterLines="0"/>
    </w:pPr>
    <w:rPr>
      <w:rFonts w:hint="eastAsia" w:ascii="宋体" w:hAnsi="宋体" w:eastAsia="宋体"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265</Words>
  <Characters>1516</Characters>
  <Lines>12</Lines>
  <Paragraphs>3</Paragraphs>
  <TotalTime>0</TotalTime>
  <ScaleCrop>false</ScaleCrop>
  <LinksUpToDate>false</LinksUpToDate>
  <CharactersWithSpaces>1778</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2017-03-17T08:06:00Z</dcterms:created>
  <dc:creator>guest</dc:creator>
  <cp:lastModifiedBy>张悦</cp:lastModifiedBy>
  <cp:lastPrinted>2017-02-07T01:57:00Z</cp:lastPrinted>
  <dcterms:modified xsi:type="dcterms:W3CDTF">2023-11-07T01:09:56Z</dcterms:modified>
  <dc:title>河北省2017年部门预算信息公开</dc:title>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