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customXml/itemProps1.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adjustRightInd w:val="0"/>
        <w:snapToGrid w:val="0"/>
        <w:jc w:val="center"/>
        <w:rPr>
          <w:rFonts w:ascii="方正小标宋_GBK" w:eastAsia="方正小标宋_GBK" w:cs="Times New Roman" w:hAnsi="Times New Roman"/>
          <w:bCs/>
          <w:sz w:val="44"/>
          <w:szCs w:val="44"/>
        </w:rPr>
      </w:pPr>
      <w:r>
        <w:rPr>
          <w:rFonts w:ascii="方正小标宋_GBK" w:eastAsia="方正小标宋_GBK" w:cs="Times New Roman" w:hAnsi="Times New Roman" w:hint="eastAsia"/>
          <w:bCs/>
          <w:sz w:val="44"/>
          <w:szCs w:val="44"/>
        </w:rPr>
        <w:t>深泽县科学技术协会</w:t>
      </w:r>
    </w:p>
    <w:p>
      <w:pPr>
        <w:adjustRightInd w:val="0"/>
        <w:snapToGrid w:val="0"/>
        <w:jc w:val="center"/>
        <w:rPr>
          <w:rFonts w:ascii="方正小标宋_GBK" w:eastAsia="方正小标宋_GBK" w:cs="Times New Roman" w:hAnsi="Times New Roman"/>
          <w:bCs/>
          <w:sz w:val="44"/>
          <w:szCs w:val="44"/>
        </w:rPr>
      </w:pPr>
      <w:r>
        <w:rPr>
          <w:rFonts w:ascii="方正小标宋_GBK" w:eastAsia="方正小标宋_GBK" w:cs="Times New Roman" w:hAnsi="Times New Roman" w:hint="eastAsia"/>
          <w:bCs/>
          <w:sz w:val="44"/>
          <w:szCs w:val="44"/>
        </w:rPr>
        <w:t>2020年部门预算信息公开情况说明</w:t>
      </w:r>
    </w:p>
    <w:p>
      <w:pPr>
        <w:ind w:firstLine="640"/>
        <w:rPr>
          <w:rFonts w:ascii="Times New Roman" w:eastAsia="仿宋" w:cs="Times New Roman" w:hAnsi="Times New Roman"/>
          <w:sz w:val="32"/>
          <w:szCs w:val="32"/>
        </w:rPr>
      </w:pPr>
    </w:p>
    <w:p>
      <w:pPr>
        <w:ind w:firstLine="640"/>
        <w:rPr>
          <w:rFonts w:ascii="Times New Roman" w:eastAsia="仿宋" w:cs="Times New Roman" w:hAnsi="Times New Roman"/>
          <w:sz w:val="32"/>
          <w:szCs w:val="32"/>
        </w:rPr>
      </w:pPr>
      <w:r>
        <w:rPr>
          <w:rFonts w:ascii="Times New Roman" w:eastAsia="仿宋" w:cs="Times New Roman" w:hAnsi="Times New Roman" w:hint="eastAsia"/>
          <w:sz w:val="32"/>
          <w:szCs w:val="32"/>
        </w:rPr>
        <w:t>按照《</w:t>
      </w:r>
      <w:r>
        <w:rPr>
          <w:rFonts w:ascii="Times New Roman" w:eastAsia="仿宋" w:cs="Times New Roman" w:hAnsi="Times New Roman"/>
          <w:sz w:val="32"/>
          <w:szCs w:val="32"/>
        </w:rPr>
        <w:t>中华人民共和国</w:t>
      </w:r>
      <w:r>
        <w:rPr>
          <w:rFonts w:ascii="Times New Roman" w:eastAsia="仿宋" w:cs="Times New Roman" w:hAnsi="Times New Roman" w:hint="eastAsia"/>
          <w:sz w:val="32"/>
          <w:szCs w:val="32"/>
        </w:rPr>
        <w:t>预算法》、《地方预决算公开操作规程》和《河北省省级预算公开办法》规定，现将深泽县科学技术协会2020年部门预算公开如下：</w:t>
      </w:r>
    </w:p>
    <w:p>
      <w:pPr>
        <w:ind w:firstLine="640"/>
        <w:rPr>
          <w:rFonts w:ascii="黑体" w:eastAsia="黑体" w:cs="Times New Roman" w:hAnsi="黑体"/>
          <w:sz w:val="32"/>
          <w:szCs w:val="32"/>
        </w:rPr>
      </w:pPr>
      <w:r>
        <w:rPr>
          <w:rFonts w:ascii="黑体" w:eastAsia="黑体" w:cs="Times New Roman" w:hAnsi="黑体" w:hint="eastAsia"/>
          <w:sz w:val="32"/>
          <w:szCs w:val="32"/>
        </w:rPr>
        <w:t>一、部门职责及机构设置情况</w:t>
      </w:r>
    </w:p>
    <w:p>
      <w:pPr>
        <w:ind w:firstLineChars="224" w:firstLine="717"/>
        <w:rPr>
          <w:rFonts w:ascii="仿宋" w:eastAsia="仿宋" w:hAnsi="仿宋"/>
          <w:sz w:val="28"/>
          <w:szCs w:val="28"/>
        </w:rPr>
      </w:pPr>
      <w:r>
        <w:rPr>
          <w:rFonts w:ascii="仿宋" w:eastAsia="仿宋" w:cs="Times New Roman" w:hAnsi="仿宋" w:hint="eastAsia"/>
          <w:b/>
          <w:sz w:val="32"/>
          <w:szCs w:val="32"/>
        </w:rPr>
        <w:t>部门职责：</w:t>
      </w:r>
      <w:r>
        <w:rPr>
          <w:rFonts w:ascii="仿宋" w:eastAsia="仿宋" w:cs="Arial" w:hAnsi="仿宋"/>
          <w:color w:val="333333"/>
          <w:sz w:val="32"/>
          <w:szCs w:val="32"/>
          <w:shd w:val="clear" w:color="auto" w:fill="FFFFFF"/>
        </w:rPr>
        <w:t>1.</w:t>
      </w:r>
      <w:r>
        <w:rPr>
          <w:rFonts w:ascii="仿宋" w:eastAsia="仿宋" w:cs="Arial" w:hAnsi="仿宋" w:hint="eastAsia"/>
          <w:color w:val="333333"/>
          <w:sz w:val="32"/>
          <w:szCs w:val="32"/>
          <w:shd w:val="clear" w:color="auto" w:fill="FFFFFF"/>
        </w:rPr>
        <w:t>开展学术交流，活跃学术思想，促进学科发展。</w:t>
      </w:r>
      <w:r>
        <w:rPr>
          <w:rFonts w:ascii="仿宋" w:eastAsia="仿宋" w:cs="Arial" w:hAnsi="仿宋"/>
          <w:color w:val="333333"/>
          <w:sz w:val="32"/>
          <w:szCs w:val="32"/>
          <w:shd w:val="clear" w:color="auto" w:fill="FFFFFF"/>
        </w:rPr>
        <w:t>2.</w:t>
      </w:r>
      <w:r>
        <w:rPr>
          <w:rFonts w:ascii="仿宋" w:eastAsia="仿宋" w:cs="Arial" w:hAnsi="仿宋" w:hint="eastAsia"/>
          <w:color w:val="333333"/>
          <w:sz w:val="32"/>
          <w:szCs w:val="32"/>
          <w:shd w:val="clear" w:color="auto" w:fill="FFFFFF"/>
        </w:rPr>
        <w:t>弘扬科学精神，普及科学知识，传播科学思想和科学方法。捍卫科学尊严，推广先进技术，开展青少年科学技术教育活动，提高全民族科学文化素质。</w:t>
      </w:r>
      <w:r>
        <w:rPr>
          <w:rFonts w:ascii="仿宋" w:eastAsia="仿宋" w:cs="Arial" w:hAnsi="仿宋"/>
          <w:color w:val="333333"/>
          <w:sz w:val="32"/>
          <w:szCs w:val="32"/>
          <w:shd w:val="clear" w:color="auto" w:fill="FFFFFF"/>
        </w:rPr>
        <w:t>3.</w:t>
      </w:r>
      <w:r>
        <w:rPr>
          <w:rFonts w:ascii="仿宋" w:eastAsia="仿宋" w:cs="Arial" w:hAnsi="仿宋" w:hint="eastAsia"/>
          <w:color w:val="333333"/>
          <w:sz w:val="32"/>
          <w:szCs w:val="32"/>
          <w:shd w:val="clear" w:color="auto" w:fill="FFFFFF"/>
        </w:rPr>
        <w:t>反映科学技术工作者的意见和要求，维护科学技术工作者的合法权益。组织科学技术工作者参与国家科学技术政策、法规制定和国家事务的政治协商、科学决策、民主监督工作。</w:t>
      </w:r>
      <w:r>
        <w:rPr>
          <w:rFonts w:ascii="仿宋" w:eastAsia="仿宋" w:cs="Arial" w:hAnsi="仿宋"/>
          <w:color w:val="333333"/>
          <w:sz w:val="32"/>
          <w:szCs w:val="32"/>
          <w:shd w:val="clear" w:color="auto" w:fill="FFFFFF"/>
        </w:rPr>
        <w:t>4.</w:t>
      </w:r>
      <w:r>
        <w:rPr>
          <w:rFonts w:ascii="仿宋" w:eastAsia="仿宋" w:cs="Arial" w:hAnsi="仿宋" w:hint="eastAsia"/>
          <w:color w:val="333333"/>
          <w:sz w:val="32"/>
          <w:szCs w:val="32"/>
          <w:shd w:val="clear" w:color="auto" w:fill="FFFFFF"/>
        </w:rPr>
        <w:t>表彰奖励优秀科学技术工作者，举荐人才。</w:t>
      </w:r>
      <w:r>
        <w:rPr>
          <w:rFonts w:ascii="仿宋" w:eastAsia="仿宋"/>
          <w:sz w:val="28"/>
          <w:szCs w:val="28"/>
        </w:rPr>
        <w:t> </w:t>
      </w:r>
    </w:p>
    <w:p>
      <w:pPr>
        <w:autoSpaceDE w:val="0"/>
        <w:autoSpaceDN w:val="0"/>
        <w:adjustRightInd w:val="0"/>
        <w:ind w:firstLineChars="295" w:firstLine="944"/>
        <w:jc w:val="left"/>
        <w:rPr>
          <w:rFonts w:ascii="仿宋" w:eastAsia="仿宋" w:cs="Times New Roman" w:hAnsi="仿宋"/>
          <w:b/>
          <w:sz w:val="32"/>
          <w:szCs w:val="32"/>
        </w:rPr>
      </w:pPr>
      <w:r>
        <w:rPr>
          <w:rFonts w:ascii="仿宋" w:eastAsia="仿宋" w:cs="Times New Roman" w:hAnsi="仿宋" w:hint="eastAsia"/>
          <w:b/>
          <w:sz w:val="32"/>
          <w:szCs w:val="32"/>
        </w:rPr>
        <w:t>机构设置：</w:t>
      </w:r>
    </w:p>
    <w:p>
      <w:pPr>
        <w:jc w:val="center"/>
        <w:outlineLvl w:val="0"/>
        <w:rPr>
          <w:rFonts w:ascii="Times New Roman" w:eastAsia="方正小标宋_GBK" w:cs="Times New Roman" w:hAnsi="Times New Roman"/>
          <w:sz w:val="32"/>
          <w:szCs w:val="24"/>
        </w:rPr>
      </w:pPr>
      <w:r>
        <w:rPr>
          <w:rFonts w:ascii="Times New Roman" w:eastAsia="方正小标宋_GBK" w:cs="Times New Roman" w:hAnsi="Times New Roman" w:hint="eastAsia"/>
          <w:sz w:val="32"/>
          <w:szCs w:val="24"/>
        </w:rPr>
        <w:t>部门机构设置情况</w:t>
      </w:r>
    </w:p>
    <w:tbl>
      <w:tblPr>
        <w:jc w:val="center"/>
        <w:tblW w:w="972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4417"/>
        <w:gridCol w:w="1134"/>
        <w:gridCol w:w="1276"/>
        <w:gridCol w:w="2902"/>
      </w:tblGrid>
      <w:tr>
        <w:trPr>
          <w:trHeight w:val="300"/>
          <w:tblHeader/>
        </w:trPr>
        <w:tc>
          <w:tcPr>
            <w:tcW w:w="4417" w:type="dxa"/>
            <w:vMerge w:val="restart"/>
            <w:vAlign w:val="center"/>
          </w:tcPr>
          <w:p>
            <w:pPr>
              <w:spacing w:line="300" w:lineRule="exact"/>
              <w:jc w:val="center"/>
              <w:rPr>
                <w:rFonts w:ascii="Times New Roman" w:eastAsia="方正书宋_GBK" w:cs="Times New Roman" w:hAnsi="Times New Roman"/>
                <w:b/>
                <w:szCs w:val="24"/>
              </w:rPr>
            </w:pPr>
            <w:r>
              <w:rPr>
                <w:rFonts w:ascii="Times New Roman" w:eastAsia="方正书宋_GBK" w:cs="Times New Roman" w:hAnsi="Times New Roman" w:hint="eastAsia"/>
                <w:b/>
                <w:szCs w:val="24"/>
              </w:rPr>
              <w:t>单位名称</w:t>
            </w:r>
          </w:p>
        </w:tc>
        <w:tc>
          <w:tcPr>
            <w:tcW w:w="1134" w:type="dxa"/>
            <w:vMerge w:val="restart"/>
            <w:vAlign w:val="center"/>
          </w:tcPr>
          <w:p>
            <w:pPr>
              <w:spacing w:line="300" w:lineRule="exact"/>
              <w:jc w:val="center"/>
              <w:rPr>
                <w:rFonts w:ascii="Times New Roman" w:eastAsia="方正书宋_GBK" w:cs="Times New Roman" w:hAnsi="Times New Roman"/>
                <w:b/>
                <w:szCs w:val="24"/>
              </w:rPr>
            </w:pPr>
            <w:r>
              <w:rPr>
                <w:rFonts w:ascii="Times New Roman" w:eastAsia="方正书宋_GBK" w:cs="Times New Roman" w:hAnsi="Times New Roman" w:hint="eastAsia"/>
                <w:b/>
                <w:szCs w:val="24"/>
              </w:rPr>
              <w:t>单位性质</w:t>
            </w:r>
          </w:p>
        </w:tc>
        <w:tc>
          <w:tcPr>
            <w:tcW w:w="1276" w:type="dxa"/>
            <w:vMerge w:val="restart"/>
            <w:vAlign w:val="center"/>
          </w:tcPr>
          <w:p>
            <w:pPr>
              <w:spacing w:line="300" w:lineRule="exact"/>
              <w:jc w:val="center"/>
              <w:rPr>
                <w:rFonts w:ascii="Times New Roman" w:eastAsia="方正书宋_GBK" w:cs="Times New Roman" w:hAnsi="Times New Roman"/>
                <w:b/>
                <w:szCs w:val="24"/>
              </w:rPr>
            </w:pPr>
            <w:r>
              <w:rPr>
                <w:rFonts w:ascii="Times New Roman" w:eastAsia="方正书宋_GBK" w:cs="Times New Roman" w:hAnsi="Times New Roman" w:hint="eastAsia"/>
                <w:b/>
                <w:szCs w:val="24"/>
              </w:rPr>
              <w:t>单位规格</w:t>
            </w:r>
          </w:p>
        </w:tc>
        <w:tc>
          <w:tcPr>
            <w:tcW w:w="2902" w:type="dxa"/>
            <w:vMerge w:val="restart"/>
            <w:vAlign w:val="center"/>
          </w:tcPr>
          <w:p>
            <w:pPr>
              <w:spacing w:line="300" w:lineRule="exact"/>
              <w:jc w:val="center"/>
              <w:rPr>
                <w:rFonts w:ascii="Times New Roman" w:eastAsia="方正书宋_GBK" w:cs="Times New Roman" w:hAnsi="Times New Roman"/>
                <w:b/>
                <w:szCs w:val="24"/>
              </w:rPr>
            </w:pPr>
            <w:r>
              <w:rPr>
                <w:rFonts w:ascii="Times New Roman" w:eastAsia="方正书宋_GBK" w:cs="Times New Roman" w:hAnsi="Times New Roman" w:hint="eastAsia"/>
                <w:b/>
                <w:szCs w:val="24"/>
              </w:rPr>
              <w:t>经费保障形式</w:t>
            </w:r>
          </w:p>
        </w:tc>
      </w:tr>
      <w:tr>
        <w:trPr>
          <w:trHeight w:val="300"/>
          <w:tblHeader/>
        </w:trPr>
        <w:tc>
          <w:tcPr>
            <w:tcW w:w="4417" w:type="dxa"/>
            <w:vMerge/>
            <w:tcBorders>
              <w:top w:val="single" w:sz="6" w:space="0" w:color="000000"/>
              <w:left w:val="single" w:sz="6" w:space="0" w:color="000000"/>
              <w:right w:val="single" w:sz="6" w:space="0" w:color="000000"/>
            </w:tcBorders>
            <w:vAlign w:val="center"/>
          </w:tcPr>
          <w:p/>
        </w:tc>
        <w:tc>
          <w:tcPr>
            <w:tcW w:w="1134" w:type="dxa"/>
            <w:vMerge/>
            <w:tcBorders>
              <w:top w:val="single" w:sz="6" w:space="0" w:color="000000"/>
              <w:left w:val="single" w:sz="6" w:space="0" w:color="000000"/>
              <w:right w:val="single" w:sz="6" w:space="0" w:color="000000"/>
            </w:tcBorders>
            <w:vAlign w:val="center"/>
          </w:tcPr>
          <w:p/>
        </w:tc>
        <w:tc>
          <w:tcPr>
            <w:tcW w:w="1276" w:type="dxa"/>
            <w:vMerge/>
            <w:tcBorders>
              <w:top w:val="single" w:sz="6" w:space="0" w:color="000000"/>
              <w:left w:val="single" w:sz="6" w:space="0" w:color="000000"/>
              <w:right w:val="single" w:sz="6" w:space="0" w:color="000000"/>
            </w:tcBorders>
            <w:vAlign w:val="center"/>
          </w:tcPr>
          <w:p/>
        </w:tc>
        <w:tc>
          <w:tcPr>
            <w:tcW w:w="2902" w:type="dxa"/>
            <w:vMerge/>
            <w:tcBorders>
              <w:top w:val="single" w:sz="6" w:space="0" w:color="000000"/>
              <w:left w:val="single" w:sz="6" w:space="0" w:color="000000"/>
              <w:right w:val="single" w:sz="6" w:space="0" w:color="000000"/>
            </w:tcBorders>
            <w:vAlign w:val="center"/>
          </w:tcPr>
          <w:p/>
        </w:tc>
      </w:tr>
      <w:tr>
        <w:trPr>
          <w:trHeight w:val="227"/>
        </w:trPr>
        <w:tc>
          <w:tcPr>
            <w:tcW w:w="4417" w:type="dxa"/>
            <w:tcBorders>
              <w:top w:val="single" w:sz="6" w:space="0" w:color="000000"/>
              <w:left w:val="single" w:sz="6" w:space="0" w:color="000000"/>
              <w:right w:val="single" w:sz="6" w:space="0" w:color="000000"/>
            </w:tcBorders>
            <w:vAlign w:val="center"/>
          </w:tcPr>
          <w:p>
            <w:pPr>
              <w:spacing w:line="300" w:lineRule="exact"/>
              <w:jc w:val="left"/>
              <w:rPr>
                <w:rFonts w:ascii="Times New Roman" w:eastAsia="方正书宋_GBK" w:cs="Times New Roman" w:hAnsi="Times New Roman"/>
                <w:szCs w:val="24"/>
              </w:rPr>
            </w:pPr>
            <w:r>
              <w:rPr>
                <w:rFonts w:ascii="方正书宋_GBK" w:eastAsia="方正书宋_GBK" w:hint="eastAsia"/>
              </w:rPr>
              <w:t>深泽县科学技术协会</w:t>
            </w:r>
          </w:p>
        </w:tc>
        <w:tc>
          <w:tcPr>
            <w:tcW w:w="1134" w:type="dxa"/>
            <w:tcBorders>
              <w:top w:val="single" w:sz="6" w:space="0" w:color="000000"/>
              <w:left w:val="single" w:sz="6" w:space="0" w:color="000000"/>
              <w:right w:val="single" w:sz="6" w:space="0" w:color="000000"/>
            </w:tcBorders>
            <w:vAlign w:val="center"/>
          </w:tcPr>
          <w:p>
            <w:pPr>
              <w:spacing w:line="300" w:lineRule="exact"/>
              <w:jc w:val="center"/>
              <w:rPr>
                <w:rFonts w:ascii="Times New Roman" w:eastAsia="方正书宋_GBK" w:cs="Times New Roman" w:hAnsi="Times New Roman"/>
                <w:szCs w:val="24"/>
              </w:rPr>
            </w:pPr>
            <w:r>
              <w:rPr>
                <w:rFonts w:ascii="方正书宋_GBK" w:eastAsia="方正书宋_GBK" w:hint="eastAsia"/>
              </w:rPr>
              <w:t>事业</w:t>
            </w:r>
          </w:p>
        </w:tc>
        <w:tc>
          <w:tcPr>
            <w:tcW w:w="1276" w:type="dxa"/>
            <w:tcBorders>
              <w:top w:val="single" w:sz="6" w:space="0" w:color="000000"/>
              <w:left w:val="single" w:sz="6" w:space="0" w:color="000000"/>
              <w:right w:val="single" w:sz="6" w:space="0" w:color="000000"/>
            </w:tcBorders>
            <w:vAlign w:val="center"/>
          </w:tcPr>
          <w:p>
            <w:pPr>
              <w:spacing w:line="300" w:lineRule="exact"/>
              <w:jc w:val="center"/>
              <w:rPr>
                <w:rFonts w:ascii="Times New Roman" w:eastAsia="方正书宋_GBK" w:cs="Times New Roman" w:hAnsi="Times New Roman"/>
                <w:szCs w:val="24"/>
              </w:rPr>
            </w:pPr>
            <w:r>
              <w:rPr>
                <w:rFonts w:ascii="方正书宋_GBK" w:eastAsia="方正书宋_GBK" w:hint="eastAsia"/>
              </w:rPr>
              <w:t>正科级</w:t>
            </w:r>
          </w:p>
        </w:tc>
        <w:tc>
          <w:tcPr>
            <w:tcW w:w="2902" w:type="dxa"/>
            <w:tcBorders>
              <w:top w:val="single" w:sz="6" w:space="0" w:color="000000"/>
              <w:left w:val="single" w:sz="6" w:space="0" w:color="000000"/>
              <w:right w:val="single" w:sz="6" w:space="0" w:color="000000"/>
            </w:tcBorders>
            <w:vAlign w:val="center"/>
          </w:tcPr>
          <w:p>
            <w:pPr>
              <w:spacing w:line="300" w:lineRule="exact"/>
              <w:jc w:val="center"/>
              <w:rPr>
                <w:rFonts w:ascii="Times New Roman" w:eastAsia="方正书宋_GBK" w:cs="Times New Roman" w:hAnsi="Times New Roman"/>
                <w:szCs w:val="24"/>
              </w:rPr>
            </w:pPr>
            <w:r>
              <w:rPr>
                <w:rFonts w:ascii="方正书宋_GBK" w:eastAsia="方正书宋_GBK" w:hint="eastAsia"/>
              </w:rPr>
              <w:t>财政性资金基本保证</w:t>
            </w:r>
          </w:p>
        </w:tc>
      </w:tr>
    </w:tbl>
    <w:p/>
    <w:p/>
    <w:p>
      <w:pPr>
        <w:ind w:firstLine="640"/>
        <w:rPr>
          <w:rFonts w:ascii="黑体" w:eastAsia="黑体" w:cs="Times New Roman" w:hAnsi="黑体"/>
          <w:sz w:val="32"/>
          <w:szCs w:val="32"/>
        </w:rPr>
      </w:pPr>
      <w:r>
        <w:rPr>
          <w:rFonts w:ascii="黑体" w:eastAsia="黑体" w:cs="Times New Roman" w:hAnsi="黑体" w:hint="eastAsia"/>
          <w:sz w:val="32"/>
          <w:szCs w:val="32"/>
        </w:rPr>
        <w:t>二、部门预算安排的总体情况</w:t>
      </w:r>
    </w:p>
    <w:p>
      <w:pPr>
        <w:ind w:firstLine="640"/>
        <w:rPr>
          <w:rFonts w:ascii="仿宋" w:eastAsia="仿宋" w:cs="Times New Roman" w:hAnsi="仿宋"/>
          <w:sz w:val="32"/>
          <w:szCs w:val="32"/>
        </w:rPr>
      </w:pPr>
      <w:r>
        <w:rPr>
          <w:rFonts w:ascii="仿宋" w:eastAsia="仿宋" w:cs="Times New Roman" w:hAnsi="仿宋" w:hint="eastAsia"/>
          <w:sz w:val="32"/>
          <w:szCs w:val="32"/>
        </w:rPr>
        <w:t>按照预算管理有关规定，目前我县部门预算的编制实行综合预算制度，即全部收入和支出都反映的预算中。</w:t>
      </w:r>
    </w:p>
    <w:p>
      <w:pPr>
        <w:ind w:firstLine="640"/>
        <w:rPr>
          <w:rFonts w:ascii="Times New Roman" w:eastAsia="仿宋" w:cs="Times New Roman" w:hAnsi="Times New Roman"/>
          <w:sz w:val="32"/>
          <w:szCs w:val="32"/>
        </w:rPr>
      </w:pPr>
      <w:r>
        <w:rPr>
          <w:rFonts w:ascii="Times New Roman" w:eastAsia="仿宋" w:cs="Times New Roman" w:hAnsi="Times New Roman" w:hint="eastAsia"/>
          <w:sz w:val="32"/>
          <w:szCs w:val="32"/>
        </w:rPr>
        <w:t>1、</w:t>
      </w:r>
      <w:r>
        <w:rPr>
          <w:rFonts w:ascii="Times New Roman" w:eastAsia="仿宋" w:cs="Times New Roman" w:hAnsi="Times New Roman"/>
          <w:sz w:val="32"/>
          <w:szCs w:val="32"/>
        </w:rPr>
        <w:t>收入说明</w:t>
      </w:r>
    </w:p>
    <w:p>
      <w:pPr>
        <w:ind w:firstLine="640"/>
        <w:rPr>
          <w:rFonts w:ascii="Times New Roman" w:eastAsia="仿宋" w:cs="Times New Roman" w:hAnsi="Times New Roman"/>
          <w:sz w:val="32"/>
          <w:szCs w:val="32"/>
        </w:rPr>
      </w:pPr>
      <w:r>
        <w:rPr>
          <w:rFonts w:ascii="Times New Roman" w:eastAsia="仿宋" w:cs="Times New Roman" w:hAnsi="Times New Roman" w:hint="eastAsia"/>
          <w:sz w:val="32"/>
          <w:szCs w:val="32"/>
        </w:rPr>
        <w:t>反映本部门当年全部收入。2020年预算收入87.10万元，其中：一般公共预算收入87.10万元，基金预算收入0万元，财政专户核拨收入0万元，其他来源收入0万元。</w:t>
      </w:r>
    </w:p>
    <w:p>
      <w:pPr>
        <w:ind w:firstLine="640"/>
        <w:rPr>
          <w:rFonts w:ascii="Times New Roman" w:eastAsia="仿宋" w:cs="Times New Roman" w:hAnsi="Times New Roman"/>
          <w:sz w:val="32"/>
          <w:szCs w:val="32"/>
        </w:rPr>
      </w:pPr>
      <w:r>
        <w:rPr>
          <w:rFonts w:ascii="Times New Roman" w:eastAsia="仿宋" w:cs="Times New Roman" w:hAnsi="Times New Roman" w:hint="eastAsia"/>
          <w:sz w:val="32"/>
          <w:szCs w:val="32"/>
        </w:rPr>
        <w:t>2、</w:t>
      </w:r>
      <w:r>
        <w:rPr>
          <w:rFonts w:ascii="Times New Roman" w:eastAsia="仿宋" w:cs="Times New Roman" w:hAnsi="Times New Roman"/>
          <w:sz w:val="32"/>
          <w:szCs w:val="32"/>
        </w:rPr>
        <w:t>支出说明</w:t>
      </w:r>
    </w:p>
    <w:p>
      <w:pPr>
        <w:ind w:firstLine="640"/>
        <w:rPr>
          <w:rFonts w:ascii="Times New Roman" w:eastAsia="仿宋" w:cs="Times New Roman" w:hAnsi="Times New Roman"/>
          <w:sz w:val="32"/>
          <w:szCs w:val="32"/>
        </w:rPr>
      </w:pPr>
      <w:r>
        <w:rPr>
          <w:rFonts w:ascii="Times New Roman" w:eastAsia="仿宋" w:cs="Times New Roman" w:hAnsi="Times New Roman" w:hint="eastAsia"/>
          <w:sz w:val="32"/>
          <w:szCs w:val="32"/>
        </w:rPr>
        <w:t>收支预算总表支出栏、基本支出表、项目支出表按经济分类和支出功能分类科目编制，反映深泽县科学技术协会年度部门预算中支出预算的总体情况。2020年部门支出预算为87.10万元，其中基本支出87.10万元，包括人员经费79.18万元和日常公用经费7.92万元；项目支出0万元。</w:t>
      </w:r>
    </w:p>
    <w:p>
      <w:pPr>
        <w:ind w:firstLine="640"/>
        <w:rPr>
          <w:rFonts w:ascii="Times New Roman" w:eastAsia="仿宋" w:cs="Times New Roman" w:hAnsi="Times New Roman"/>
          <w:sz w:val="32"/>
          <w:szCs w:val="32"/>
        </w:rPr>
      </w:pPr>
      <w:r>
        <w:rPr>
          <w:rFonts w:ascii="Times New Roman" w:eastAsia="仿宋" w:cs="Times New Roman" w:hAnsi="Times New Roman" w:hint="eastAsia"/>
          <w:sz w:val="32"/>
          <w:szCs w:val="32"/>
        </w:rPr>
        <w:t>3、</w:t>
      </w:r>
      <w:r>
        <w:rPr>
          <w:rFonts w:ascii="Times New Roman" w:eastAsia="仿宋" w:cs="Times New Roman" w:hAnsi="Times New Roman"/>
          <w:sz w:val="32"/>
          <w:szCs w:val="32"/>
        </w:rPr>
        <w:t>比上年增减情况</w:t>
      </w:r>
    </w:p>
    <w:p>
      <w:pPr>
        <w:ind w:firstLine="640"/>
        <w:rPr>
          <w:rFonts w:ascii="Times New Roman" w:eastAsia="仿宋" w:cs="Times New Roman" w:hAnsi="Times New Roman"/>
          <w:sz w:val="32"/>
          <w:szCs w:val="32"/>
        </w:rPr>
      </w:pPr>
      <w:r>
        <w:rPr>
          <w:rFonts w:ascii="Times New Roman" w:eastAsia="仿宋" w:cs="Times New Roman" w:hAnsi="Times New Roman" w:hint="eastAsia"/>
          <w:color w:val="000000"/>
          <w:sz w:val="32"/>
          <w:szCs w:val="32"/>
        </w:rPr>
        <w:t>2020年部门预算收支安排</w:t>
      </w:r>
      <w:r>
        <w:rPr>
          <w:rFonts w:ascii="Times New Roman" w:eastAsia="仿宋" w:cs="Times New Roman" w:hAnsi="Times New Roman" w:hint="eastAsia"/>
          <w:sz w:val="32"/>
          <w:szCs w:val="32"/>
        </w:rPr>
        <w:t>87.10</w:t>
      </w:r>
      <w:r>
        <w:rPr>
          <w:rFonts w:ascii="Times New Roman" w:eastAsia="仿宋" w:cs="Times New Roman" w:hAnsi="Times New Roman" w:hint="eastAsia"/>
          <w:color w:val="000000"/>
          <w:sz w:val="32"/>
          <w:szCs w:val="32"/>
        </w:rPr>
        <w:t>万元，</w:t>
      </w:r>
      <w:r>
        <w:rPr>
          <w:rFonts w:ascii="Times New Roman" w:eastAsia="仿宋" w:cs="Times New Roman" w:hAnsi="Times New Roman" w:hint="eastAsia"/>
          <w:sz w:val="32"/>
          <w:szCs w:val="32"/>
        </w:rPr>
        <w:t>较2019年增加32.54万元，其中：基本支出增加32.54万元(其中有28.14万元是非税收入，原因是录入错误，已向财政局说明原因)，主要是增加了人员经费和日常公用经费；项目支出减少5万元，主要是把科普活动经费列入到了日常公用经费中。</w:t>
      </w:r>
    </w:p>
    <w:p>
      <w:pPr>
        <w:autoSpaceDE w:val="0"/>
        <w:autoSpaceDN w:val="0"/>
        <w:adjustRightInd w:val="0"/>
        <w:ind w:firstLineChars="300" w:firstLine="960"/>
        <w:jc w:val="left"/>
        <w:rPr>
          <w:rFonts w:ascii="黑体" w:eastAsia="黑体" w:cs="Times New Roman" w:hAnsi="黑体"/>
          <w:sz w:val="32"/>
          <w:szCs w:val="32"/>
        </w:rPr>
      </w:pPr>
      <w:r>
        <w:rPr>
          <w:rFonts w:ascii="黑体" w:eastAsia="黑体" w:cs="Times New Roman" w:hAnsi="黑体" w:hint="eastAsia"/>
          <w:sz w:val="32"/>
          <w:szCs w:val="32"/>
        </w:rPr>
        <w:t>三、机关运行经费安排情况</w:t>
      </w:r>
    </w:p>
    <w:p>
      <w:pPr>
        <w:autoSpaceDE w:val="0"/>
        <w:autoSpaceDN w:val="0"/>
        <w:adjustRightInd w:val="0"/>
        <w:ind w:left="198" w:firstLineChars="200" w:firstLine="640"/>
        <w:jc w:val="left"/>
        <w:rPr>
          <w:rFonts w:ascii="Times New Roman" w:eastAsia="仿宋" w:cs="Times New Roman" w:hAnsi="Times New Roman"/>
          <w:sz w:val="32"/>
          <w:szCs w:val="32"/>
        </w:rPr>
      </w:pPr>
      <w:r>
        <w:rPr>
          <w:rFonts w:ascii="Times New Roman" w:eastAsia="仿宋" w:cs="Times New Roman" w:hAnsi="Times New Roman" w:hint="eastAsia"/>
          <w:sz w:val="32"/>
          <w:szCs w:val="32"/>
        </w:rPr>
        <w:t>2020年，我部门机关运行经费共计安排7.92万元，主要用于保证机关正常运转的办公及印刷费、邮电费、差旅费、会议费、福利费、专用材料及一般设备购置费、办公用房水电费、办公用房取暖费、日常维修费、办公楼物业管理费、公务车运行维护费等支出。</w:t>
      </w:r>
    </w:p>
    <w:p>
      <w:pPr>
        <w:autoSpaceDE w:val="0"/>
        <w:autoSpaceDN w:val="0"/>
        <w:adjustRightInd w:val="0"/>
        <w:ind w:left="198" w:firstLineChars="200" w:firstLine="640"/>
        <w:jc w:val="left"/>
        <w:rPr>
          <w:rFonts w:ascii="黑体" w:eastAsia="黑体" w:cs="Times New Roman" w:hAnsi="黑体"/>
          <w:sz w:val="32"/>
          <w:szCs w:val="32"/>
        </w:rPr>
      </w:pPr>
      <w:r>
        <w:rPr>
          <w:rFonts w:ascii="黑体" w:eastAsia="黑体" w:cs="Times New Roman" w:hAnsi="黑体" w:hint="eastAsia"/>
          <w:sz w:val="32"/>
          <w:szCs w:val="32"/>
        </w:rPr>
        <w:t>四、财政拨款</w:t>
      </w:r>
      <w:r>
        <w:rPr>
          <w:rFonts w:ascii="黑体" w:eastAsia="黑体" w:cs="Times New Roman" w:hAnsi="黑体"/>
          <w:sz w:val="32"/>
          <w:szCs w:val="32"/>
        </w:rPr>
        <w:t>“</w:t>
      </w:r>
      <w:r>
        <w:rPr>
          <w:rFonts w:ascii="黑体" w:eastAsia="黑体" w:cs="Times New Roman" w:hAnsi="黑体" w:hint="eastAsia"/>
          <w:sz w:val="32"/>
          <w:szCs w:val="32"/>
        </w:rPr>
        <w:t>三公</w:t>
      </w:r>
      <w:r>
        <w:rPr>
          <w:rFonts w:ascii="黑体" w:eastAsia="黑体" w:cs="Times New Roman" w:hAnsi="黑体"/>
          <w:sz w:val="32"/>
          <w:szCs w:val="32"/>
        </w:rPr>
        <w:t>”</w:t>
      </w:r>
      <w:r>
        <w:rPr>
          <w:rFonts w:ascii="黑体" w:eastAsia="黑体" w:cs="Times New Roman" w:hAnsi="黑体" w:hint="eastAsia"/>
          <w:sz w:val="32"/>
          <w:szCs w:val="32"/>
        </w:rPr>
        <w:t>经费预算情况及增减变化原因</w:t>
      </w:r>
    </w:p>
    <w:p>
      <w:pPr>
        <w:autoSpaceDE w:val="0"/>
        <w:autoSpaceDN w:val="0"/>
        <w:adjustRightInd w:val="0"/>
        <w:ind w:left="198" w:firstLineChars="200" w:firstLine="640"/>
        <w:jc w:val="left"/>
        <w:rPr>
          <w:rFonts w:ascii="Times New Roman" w:eastAsia="仿宋" w:cs="Times New Roman" w:hAnsi="Times New Roman"/>
          <w:sz w:val="32"/>
          <w:szCs w:val="32"/>
        </w:rPr>
      </w:pPr>
      <w:r>
        <w:rPr>
          <w:rFonts w:ascii="Times New Roman" w:eastAsia="仿宋" w:cs="Times New Roman" w:hAnsi="Times New Roman" w:hint="eastAsia"/>
          <w:sz w:val="32"/>
          <w:szCs w:val="32"/>
        </w:rPr>
        <w:t>2020年，我部门财政拨款“三公”经费预算安排0万元，其中：因公出国（境）费0万元；公务用车购置及运维费0万元（其中：公务用车购置费0万元，公务用车运行维护费0万元)；公务接待费0万元。“三公”经费与上年持平，无增减变化。</w:t>
      </w:r>
    </w:p>
    <w:p>
      <w:pPr>
        <w:autoSpaceDE w:val="0"/>
        <w:autoSpaceDN w:val="0"/>
        <w:adjustRightInd w:val="0"/>
        <w:ind w:left="198" w:firstLineChars="200" w:firstLine="640"/>
        <w:jc w:val="left"/>
        <w:rPr>
          <w:rFonts w:ascii="黑体" w:eastAsia="黑体" w:cs="Times New Roman" w:hAnsi="黑体"/>
          <w:sz w:val="32"/>
          <w:szCs w:val="32"/>
        </w:rPr>
      </w:pPr>
      <w:r>
        <w:rPr>
          <w:rFonts w:ascii="黑体" w:eastAsia="黑体" w:cs="Times New Roman" w:hAnsi="黑体" w:hint="eastAsia"/>
          <w:sz w:val="32"/>
          <w:szCs w:val="32"/>
        </w:rPr>
        <w:t>五、预算绩效信息</w:t>
      </w:r>
    </w:p>
    <w:p>
      <w:pPr>
        <w:ind w:firstLineChars="200" w:firstLine="640"/>
        <w:jc w:val="left"/>
        <w:rPr>
          <w:rFonts w:ascii="Times New Roman" w:eastAsia="仿宋" w:cs="Times New Roman" w:hAnsi="Times New Roman"/>
          <w:sz w:val="32"/>
          <w:szCs w:val="32"/>
        </w:rPr>
      </w:pPr>
      <w:bookmarkStart w:id="0" w:name="_Toc471398463"/>
      <w:r>
        <w:rPr>
          <w:rFonts w:ascii="Times New Roman" w:eastAsia="方正仿宋_GBK" w:cs="Times New Roman" w:hAnsi="Times New Roman" w:hint="eastAsia"/>
          <w:b/>
          <w:sz w:val="32"/>
          <w:szCs w:val="32"/>
        </w:rPr>
        <w:t>第一部分  部门整体绩效目标</w:t>
      </w:r>
    </w:p>
    <w:p>
      <w:pPr>
        <w:autoSpaceDE w:val="0"/>
        <w:autoSpaceDN w:val="0"/>
        <w:adjustRightInd w:val="0"/>
        <w:ind w:left="198" w:firstLineChars="200" w:firstLine="640"/>
        <w:jc w:val="left"/>
        <w:rPr>
          <w:rFonts w:ascii="Times New Roman" w:eastAsia="方正仿宋_GBK" w:cs="Times New Roman" w:hAnsi="Times New Roman"/>
          <w:b/>
          <w:sz w:val="32"/>
          <w:szCs w:val="32"/>
        </w:rPr>
      </w:pPr>
      <w:r>
        <w:rPr>
          <w:rFonts w:ascii="Times New Roman" w:eastAsia="方正仿宋_GBK" w:cs="Times New Roman" w:hAnsi="Times New Roman" w:hint="eastAsia"/>
          <w:b/>
          <w:sz w:val="32"/>
          <w:szCs w:val="32"/>
        </w:rPr>
        <w:t>（一）总体绩效目标</w:t>
      </w:r>
    </w:p>
    <w:p>
      <w:pPr>
        <w:ind w:firstLineChars="200" w:firstLine="640"/>
        <w:rPr>
          <w:rFonts w:ascii="仿宋_GB2312" w:eastAsia="仿宋_GB2312" w:cs="仿宋_GB2312" w:hAnsi="仿宋_GB2312"/>
          <w:sz w:val="32"/>
          <w:szCs w:val="32"/>
        </w:rPr>
      </w:pPr>
      <w:r>
        <w:rPr>
          <w:rFonts w:ascii="仿宋_GB2312" w:eastAsia="仿宋_GB2312" w:cs="仿宋_GB2312" w:hAnsi="仿宋_GB2312" w:hint="eastAsia"/>
          <w:sz w:val="32"/>
          <w:szCs w:val="32"/>
        </w:rPr>
        <w:t>2020年，在县委领导和省市科协指导下，县科协学习贯彻习近平新时代中国特色社会主义思想，不断深化系统改革，使机关党建、基层组织、科普服务等工作实现突破，努力</w:t>
      </w:r>
      <w:r>
        <w:rPr>
          <w:rFonts w:ascii="仿宋" w:eastAsia="仿宋" w:cs="仿宋" w:hAnsi="仿宋" w:hint="eastAsia"/>
          <w:kern w:val="0"/>
          <w:sz w:val="32"/>
          <w:szCs w:val="32"/>
        </w:rPr>
        <w:t>实现“十三五”目标任务圆满收官</w:t>
      </w:r>
      <w:r>
        <w:rPr>
          <w:rFonts w:ascii="仿宋_GB2312" w:eastAsia="仿宋_GB2312" w:cs="仿宋_GB2312" w:hAnsi="仿宋_GB2312" w:hint="eastAsia"/>
          <w:sz w:val="32"/>
          <w:szCs w:val="32"/>
        </w:rPr>
        <w:t>。</w:t>
      </w:r>
    </w:p>
    <w:p>
      <w:pPr>
        <w:ind w:firstLineChars="200" w:firstLine="640"/>
        <w:rPr>
          <w:rFonts w:ascii="Times New Roman" w:eastAsia="方正仿宋_GBK" w:cs="Times New Roman" w:hAnsi="Times New Roman"/>
          <w:b/>
          <w:sz w:val="32"/>
          <w:szCs w:val="32"/>
        </w:rPr>
      </w:pPr>
      <w:r>
        <w:rPr>
          <w:rFonts w:ascii="Times New Roman" w:eastAsia="方正仿宋_GBK" w:cs="Times New Roman" w:hAnsi="Times New Roman" w:hint="eastAsia"/>
          <w:b/>
          <w:sz w:val="32"/>
          <w:szCs w:val="32"/>
        </w:rPr>
        <w:t>（二）分项绩效目标</w:t>
      </w:r>
    </w:p>
    <w:p>
      <w:pPr>
        <w:ind w:firstLineChars="247" w:firstLine="790"/>
        <w:rPr>
          <w:rFonts w:ascii="仿宋" w:eastAsia="仿宋" w:hAnsi="仿宋"/>
          <w:sz w:val="32"/>
          <w:szCs w:val="32"/>
        </w:rPr>
      </w:pPr>
      <w:r>
        <w:rPr>
          <w:rFonts w:ascii="仿宋" w:eastAsia="仿宋" w:hAnsi="仿宋" w:hint="eastAsia"/>
          <w:b/>
          <w:bCs/>
          <w:sz w:val="32"/>
          <w:szCs w:val="32"/>
        </w:rPr>
        <w:t>科学技术普及</w:t>
      </w:r>
      <w:r>
        <w:rPr>
          <w:rFonts w:ascii="仿宋" w:eastAsia="仿宋" w:hAnsi="仿宋" w:hint="eastAsia"/>
          <w:sz w:val="32"/>
          <w:szCs w:val="32"/>
        </w:rPr>
        <w:t>：依据《全民科学素质行动计划纲要》和《科普法》并结合社会实际需要，开展科普活动，加强科普设施建设，提升科普能力</w:t>
      </w:r>
    </w:p>
    <w:p>
      <w:pPr>
        <w:ind w:firstLine="560"/>
        <w:rPr>
          <w:rFonts w:ascii="仿宋" w:eastAsia="仿宋" w:hAnsi="仿宋"/>
          <w:sz w:val="32"/>
          <w:szCs w:val="32"/>
        </w:rPr>
      </w:pPr>
      <w:r>
        <w:rPr>
          <w:rFonts w:ascii="仿宋" w:eastAsia="仿宋" w:hAnsi="仿宋" w:hint="eastAsia"/>
          <w:b/>
          <w:bCs/>
          <w:sz w:val="32"/>
          <w:szCs w:val="32"/>
        </w:rPr>
        <w:t>开展科普活动</w:t>
      </w:r>
      <w:r>
        <w:rPr>
          <w:rFonts w:ascii="仿宋" w:eastAsia="仿宋" w:hAnsi="仿宋" w:hint="eastAsia"/>
          <w:sz w:val="32"/>
          <w:szCs w:val="32"/>
        </w:rPr>
        <w:t>：面向农民、社区居民、青少年、领导干部和公务员等重点人群，开展科普惠农、科普益民等重点科普活动；开展科普日、科技周、减灾日、三下乡等系列科普活动。</w:t>
      </w:r>
    </w:p>
    <w:p>
      <w:pPr>
        <w:ind w:firstLine="560"/>
        <w:rPr>
          <w:rFonts w:ascii="仿宋" w:eastAsia="仿宋" w:hAnsi="仿宋"/>
          <w:sz w:val="32"/>
          <w:szCs w:val="32"/>
        </w:rPr>
      </w:pPr>
      <w:r>
        <w:rPr>
          <w:rFonts w:ascii="仿宋" w:eastAsia="仿宋" w:hAnsi="仿宋" w:hint="eastAsia"/>
          <w:b/>
          <w:bCs/>
          <w:sz w:val="32"/>
          <w:szCs w:val="32"/>
        </w:rPr>
        <w:t>科普惠农兴村计划项目申报</w:t>
      </w:r>
      <w:r>
        <w:rPr>
          <w:rFonts w:ascii="仿宋" w:eastAsia="仿宋" w:hAnsi="仿宋" w:hint="eastAsia"/>
          <w:sz w:val="32"/>
          <w:szCs w:val="32"/>
        </w:rPr>
        <w:t>：重点培养一批农村专业技术协会、科普示范基地、农村科普带头人以备项目申报</w:t>
      </w:r>
    </w:p>
    <w:p>
      <w:pPr>
        <w:ind w:firstLine="560"/>
        <w:rPr>
          <w:rFonts w:ascii="仿宋" w:eastAsia="仿宋" w:hAnsi="仿宋"/>
          <w:sz w:val="32"/>
          <w:szCs w:val="32"/>
        </w:rPr>
      </w:pPr>
      <w:r>
        <w:rPr>
          <w:rFonts w:ascii="仿宋" w:eastAsia="仿宋" w:hAnsi="仿宋" w:hint="eastAsia"/>
          <w:b/>
          <w:bCs/>
          <w:sz w:val="32"/>
          <w:szCs w:val="32"/>
        </w:rPr>
        <w:t>政务管理：</w:t>
      </w:r>
      <w:r>
        <w:rPr>
          <w:rFonts w:ascii="仿宋" w:eastAsia="仿宋" w:hAnsi="仿宋"/>
          <w:sz w:val="32"/>
          <w:szCs w:val="32"/>
        </w:rPr>
        <w:t>1</w:t>
      </w:r>
      <w:r>
        <w:rPr>
          <w:rFonts w:ascii="仿宋" w:eastAsia="仿宋" w:hAnsi="仿宋" w:hint="eastAsia"/>
          <w:sz w:val="32"/>
          <w:szCs w:val="32"/>
        </w:rPr>
        <w:t>、为科技工作者服务的能力更强，把科协建成科技工作者之家；</w:t>
      </w:r>
      <w:r>
        <w:rPr>
          <w:rFonts w:ascii="仿宋" w:eastAsia="仿宋" w:hAnsi="仿宋"/>
          <w:sz w:val="32"/>
          <w:szCs w:val="32"/>
        </w:rPr>
        <w:t xml:space="preserve"> 2</w:t>
      </w:r>
      <w:r>
        <w:rPr>
          <w:rFonts w:ascii="仿宋" w:eastAsia="仿宋" w:hAnsi="仿宋" w:hint="eastAsia"/>
          <w:sz w:val="32"/>
          <w:szCs w:val="32"/>
        </w:rPr>
        <w:t>、加强科协机关自身建设，提高机关服务能力，</w:t>
      </w:r>
      <w:r>
        <w:rPr>
          <w:rFonts w:ascii="仿宋" w:eastAsia="仿宋" w:hAnsi="仿宋"/>
          <w:sz w:val="32"/>
          <w:szCs w:val="32"/>
        </w:rPr>
        <w:t xml:space="preserve"> </w:t>
      </w:r>
      <w:r>
        <w:rPr>
          <w:rFonts w:ascii="仿宋" w:eastAsia="仿宋" w:hAnsi="仿宋" w:hint="eastAsia"/>
          <w:sz w:val="32"/>
          <w:szCs w:val="32"/>
        </w:rPr>
        <w:t>包括：完善网站管理制度，提升网站管理水平，保障网络安全、加强对科普项目的管理和监督、切实提高科协民主办会科学化水平、更好发挥党组织的战斗堡垒作用和共产党员的先锋模范作用。</w:t>
      </w:r>
    </w:p>
    <w:p>
      <w:pPr>
        <w:ind w:firstLine="560"/>
        <w:rPr>
          <w:rFonts w:ascii="仿宋" w:eastAsia="仿宋" w:hAnsi="仿宋"/>
          <w:sz w:val="32"/>
          <w:szCs w:val="32"/>
        </w:rPr>
      </w:pPr>
      <w:r>
        <w:rPr>
          <w:rFonts w:ascii="仿宋" w:eastAsia="仿宋" w:hAnsi="仿宋" w:hint="eastAsia"/>
          <w:b/>
          <w:bCs/>
          <w:sz w:val="32"/>
          <w:szCs w:val="32"/>
        </w:rPr>
        <w:t>综合业务管理</w:t>
      </w:r>
      <w:r>
        <w:rPr>
          <w:rFonts w:ascii="仿宋" w:eastAsia="仿宋" w:hAnsi="仿宋" w:hint="eastAsia"/>
          <w:sz w:val="32"/>
          <w:szCs w:val="32"/>
        </w:rPr>
        <w:t>：各类科普业务工作谋划到位、开展有序，助推科普事业发展能力提升。</w:t>
      </w:r>
    </w:p>
    <w:p>
      <w:pPr>
        <w:autoSpaceDE w:val="0"/>
        <w:autoSpaceDN w:val="0"/>
        <w:adjustRightInd w:val="0"/>
        <w:ind w:left="198" w:firstLineChars="200" w:firstLine="640"/>
        <w:jc w:val="left"/>
        <w:rPr>
          <w:rFonts w:ascii="Times New Roman" w:eastAsia="方正仿宋_GBK" w:cs="Times New Roman" w:hAnsi="Times New Roman"/>
          <w:b/>
          <w:sz w:val="32"/>
          <w:szCs w:val="32"/>
        </w:rPr>
      </w:pPr>
      <w:bookmarkStart w:id="1" w:name="_Toc29484629"/>
      <w:bookmarkEnd w:id="1"/>
      <w:r>
        <w:rPr>
          <w:rFonts w:ascii="Times New Roman" w:eastAsia="方正仿宋_GBK" w:cs="Times New Roman" w:hAnsi="Times New Roman" w:hint="eastAsia"/>
          <w:b/>
          <w:vanish/>
          <w:sz w:val="32"/>
          <w:szCs w:val="32"/>
        </w:rPr>
        <w:t>{ TC 分项绩效目标 \f A \l 1 }</w:t>
      </w:r>
      <w:r>
        <w:rPr>
          <w:rFonts w:ascii="Times New Roman" w:eastAsia="方正仿宋_GBK" w:cs="Times New Roman" w:hAnsi="Times New Roman" w:hint="eastAsia"/>
          <w:b/>
          <w:sz w:val="32"/>
          <w:szCs w:val="32"/>
        </w:rPr>
        <w:t>（三）工作保障措施</w:t>
      </w:r>
    </w:p>
    <w:p>
      <w:pPr>
        <w:ind w:firstLineChars="200" w:firstLine="640"/>
        <w:rPr>
          <w:rFonts w:ascii="仿宋" w:eastAsia="仿宋" w:cs="仿宋" w:hAnsi="仿宋"/>
          <w:kern w:val="0"/>
          <w:sz w:val="32"/>
          <w:szCs w:val="32"/>
        </w:rPr>
      </w:pPr>
      <w:r>
        <w:rPr>
          <w:rFonts w:ascii="仿宋" w:eastAsia="仿宋" w:cs="仿宋" w:hAnsi="仿宋" w:hint="eastAsia"/>
          <w:kern w:val="0"/>
          <w:sz w:val="32"/>
          <w:szCs w:val="32"/>
        </w:rPr>
        <w:t>1.继续推进其他四个乡镇科协组织力“3+1”建设，配备兼职副主席发挥作用；</w:t>
      </w:r>
    </w:p>
    <w:p>
      <w:pPr>
        <w:ind w:firstLineChars="200" w:firstLine="640"/>
        <w:rPr>
          <w:rFonts w:ascii="仿宋" w:eastAsia="仿宋" w:cs="仿宋" w:hAnsi="仿宋"/>
          <w:kern w:val="0"/>
          <w:sz w:val="32"/>
          <w:szCs w:val="32"/>
        </w:rPr>
      </w:pPr>
      <w:r>
        <w:rPr>
          <w:rFonts w:ascii="仿宋" w:eastAsia="仿宋" w:cs="仿宋" w:hAnsi="仿宋" w:hint="eastAsia"/>
          <w:kern w:val="0"/>
          <w:sz w:val="32"/>
          <w:szCs w:val="32"/>
        </w:rPr>
        <w:t>2.联合相关部门科技工作者及各乡镇科协组织开展“科技活动周”“科普日”科普宣传活动；</w:t>
      </w:r>
    </w:p>
    <w:p>
      <w:pPr>
        <w:ind w:firstLineChars="200" w:firstLine="640"/>
        <w:rPr>
          <w:rFonts w:ascii="仿宋" w:eastAsia="仿宋" w:cs="仿宋" w:hAnsi="仿宋"/>
          <w:kern w:val="0"/>
          <w:sz w:val="32"/>
          <w:szCs w:val="32"/>
        </w:rPr>
      </w:pPr>
      <w:r>
        <w:rPr>
          <w:rFonts w:ascii="仿宋" w:eastAsia="仿宋" w:cs="仿宋" w:hAnsi="仿宋" w:hint="eastAsia"/>
          <w:kern w:val="0"/>
          <w:sz w:val="32"/>
          <w:szCs w:val="32"/>
        </w:rPr>
        <w:t>3.联合农业、卫计等部门开展多种形式的实用科技培训；</w:t>
      </w:r>
    </w:p>
    <w:p>
      <w:pPr>
        <w:ind w:firstLineChars="200" w:firstLine="640"/>
        <w:rPr>
          <w:rFonts w:ascii="仿宋" w:eastAsia="仿宋" w:cs="仿宋" w:hAnsi="仿宋"/>
          <w:kern w:val="0"/>
          <w:sz w:val="32"/>
          <w:szCs w:val="32"/>
        </w:rPr>
      </w:pPr>
      <w:r>
        <w:rPr>
          <w:rFonts w:ascii="仿宋" w:eastAsia="仿宋" w:cs="仿宋" w:hAnsi="仿宋" w:hint="eastAsia"/>
          <w:kern w:val="0"/>
          <w:sz w:val="32"/>
          <w:szCs w:val="32"/>
        </w:rPr>
        <w:t>4.筛选1-2个村庄建设科普画廊；</w:t>
      </w:r>
    </w:p>
    <w:p>
      <w:pPr>
        <w:autoSpaceDE w:val="0"/>
        <w:autoSpaceDN w:val="0"/>
        <w:adjustRightInd w:val="0"/>
        <w:ind w:firstLineChars="200" w:firstLine="640"/>
        <w:jc w:val="left"/>
        <w:rPr>
          <w:rFonts w:ascii="Times New Roman" w:eastAsia="方正仿宋_GBK" w:cs="Times New Roman" w:hAnsi="Times New Roman"/>
          <w:b/>
          <w:sz w:val="32"/>
          <w:szCs w:val="32"/>
        </w:rPr>
      </w:pPr>
      <w:r>
        <w:rPr>
          <w:rFonts w:ascii="仿宋" w:eastAsia="仿宋" w:cs="仿宋" w:hAnsi="仿宋" w:hint="eastAsia"/>
          <w:kern w:val="0"/>
          <w:sz w:val="32"/>
          <w:szCs w:val="32"/>
        </w:rPr>
        <w:t>5.就项目帮扶、科技工作者激励等事项争取省、市科协支持。</w:t>
      </w:r>
      <w:bookmarkStart w:id="2" w:name="_Toc29484630"/>
      <w:bookmarkEnd w:id="2"/>
      <w:r>
        <w:rPr>
          <w:rFonts w:ascii="Times New Roman" w:eastAsia="方正仿宋_GBK" w:cs="Times New Roman" w:hAnsi="Times New Roman" w:hint="eastAsia"/>
          <w:b/>
          <w:vanish/>
          <w:sz w:val="32"/>
          <w:szCs w:val="32"/>
        </w:rPr>
        <w:t>{ TC 工作保障措施 \f A \l 1 }</w:t>
      </w:r>
    </w:p>
    <w:p>
      <w:pPr>
        <w:autoSpaceDE w:val="0"/>
        <w:autoSpaceDN w:val="0"/>
        <w:adjustRightInd w:val="0"/>
        <w:ind w:left="198" w:firstLineChars="200" w:firstLine="640"/>
        <w:jc w:val="left"/>
        <w:rPr>
          <w:rFonts w:ascii="Times New Roman" w:eastAsia="方正仿宋_GBK" w:cs="Times New Roman" w:hAnsi="Times New Roman"/>
          <w:b/>
          <w:sz w:val="32"/>
          <w:szCs w:val="32"/>
        </w:rPr>
      </w:pPr>
      <w:r>
        <w:rPr>
          <w:rFonts w:ascii="Times New Roman" w:eastAsia="方正仿宋_GBK" w:cs="Times New Roman" w:hAnsi="Times New Roman" w:hint="eastAsia"/>
          <w:b/>
          <w:sz w:val="32"/>
          <w:szCs w:val="32"/>
        </w:rPr>
        <w:t>第二部分  预算项目绩效目标</w:t>
      </w:r>
    </w:p>
    <w:p>
      <w:pPr>
        <w:ind w:firstLineChars="200" w:firstLine="640"/>
        <w:jc w:val="left"/>
        <w:outlineLvl w:val="0"/>
        <w:rPr>
          <w:rFonts w:ascii="仿宋" w:eastAsia="仿宋" w:hAnsi="仿宋"/>
          <w:b/>
          <w:sz w:val="32"/>
          <w:szCs w:val="32"/>
        </w:rPr>
      </w:pPr>
      <w:r>
        <w:rPr>
          <w:rFonts w:ascii="仿宋" w:eastAsia="仿宋" w:hAnsi="仿宋" w:hint="eastAsia"/>
          <w:b/>
          <w:sz w:val="32"/>
          <w:szCs w:val="32"/>
        </w:rPr>
        <w:t>部门职责及工作活动绩效目标指标：</w:t>
      </w:r>
    </w:p>
    <w:p>
      <w:pPr>
        <w:autoSpaceDE w:val="0"/>
        <w:autoSpaceDN w:val="0"/>
        <w:adjustRightInd w:val="0"/>
        <w:ind w:left="198" w:firstLineChars="200" w:firstLine="640"/>
        <w:jc w:val="left"/>
        <w:rPr>
          <w:rFonts w:ascii="Times New Roman" w:eastAsia="方正仿宋_GBK" w:cs="Times New Roman" w:hAnsi="Times New Roman"/>
          <w:b/>
          <w:sz w:val="32"/>
          <w:szCs w:val="32"/>
        </w:rPr>
      </w:pPr>
    </w:p>
    <w:tbl>
      <w:tblPr>
        <w:jc w:val="center"/>
        <w:tblW w:w="1393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341"/>
        <w:gridCol w:w="1276"/>
        <w:gridCol w:w="2976"/>
        <w:gridCol w:w="2976"/>
        <w:gridCol w:w="1417"/>
        <w:gridCol w:w="737"/>
        <w:gridCol w:w="737"/>
        <w:gridCol w:w="737"/>
        <w:gridCol w:w="737"/>
      </w:tblGrid>
      <w:tr>
        <w:trPr>
          <w:trHeight w:val="227"/>
          <w:tblHeader/>
        </w:trPr>
        <w:tc>
          <w:tcPr>
            <w:tcW w:w="10986" w:type="dxa"/>
            <w:gridSpan w:val="5"/>
            <w:tcBorders>
              <w:top w:val="single" w:sz="6" w:space="0" w:color="FFFFFF"/>
              <w:left w:val="single" w:sz="6" w:space="0" w:color="FFFFFF"/>
              <w:right w:val="single" w:sz="6" w:space="0" w:color="FFFFFF"/>
            </w:tcBorders>
            <w:vAlign w:val="center"/>
          </w:tcPr>
          <w:p>
            <w:pPr>
              <w:spacing w:line="300" w:lineRule="exact"/>
              <w:jc w:val="left"/>
              <w:rPr>
                <w:rFonts w:ascii="方正小标宋_GBK" w:eastAsia="方正小标宋_GBK"/>
                <w:sz w:val="24"/>
              </w:rPr>
            </w:pPr>
            <w:r>
              <w:rPr>
                <w:rFonts w:ascii="方正小标宋_GBK" w:eastAsia="方正小标宋_GBK"/>
                <w:sz w:val="24"/>
              </w:rPr>
              <w:t>731</w:t>
            </w:r>
            <w:r>
              <w:rPr>
                <w:rFonts w:ascii="方正小标宋_GBK" w:eastAsia="方正小标宋_GBK" w:hint="eastAsia"/>
                <w:sz w:val="24"/>
              </w:rPr>
              <w:t>深泽县科学技术协会</w:t>
            </w:r>
          </w:p>
        </w:tc>
        <w:tc>
          <w:tcPr>
            <w:tcW w:w="2948" w:type="dxa"/>
            <w:gridSpan w:val="4"/>
            <w:tcBorders>
              <w:top w:val="single" w:sz="6" w:space="0" w:color="FFFFFF"/>
              <w:left w:val="single" w:sz="6" w:space="0" w:color="FFFFFF"/>
              <w:right w:val="single" w:sz="6" w:space="0" w:color="FFFFFF"/>
            </w:tcBorders>
            <w:vAlign w:val="center"/>
          </w:tcPr>
          <w:p>
            <w:pPr>
              <w:spacing w:line="300" w:lineRule="exact"/>
              <w:jc w:val="right"/>
              <w:rPr>
                <w:rFonts w:ascii="方正书宋_GBK" w:eastAsia="方正书宋_GBK"/>
                <w:sz w:val="24"/>
              </w:rPr>
            </w:pPr>
            <w:r>
              <w:rPr>
                <w:rFonts w:ascii="方正书宋_GBK" w:eastAsia="方正书宋_GBK" w:hint="eastAsia"/>
                <w:sz w:val="24"/>
              </w:rPr>
              <w:t>单位：万元</w:t>
            </w:r>
          </w:p>
        </w:tc>
      </w:tr>
      <w:tr>
        <w:trPr>
          <w:trHeight w:val="227"/>
          <w:tblHeader/>
        </w:trPr>
        <w:tc>
          <w:tcPr>
            <w:tcW w:w="2341" w:type="dxa"/>
            <w:vMerge w:val="restart"/>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职责活动</w:t>
            </w:r>
          </w:p>
        </w:tc>
        <w:tc>
          <w:tcPr>
            <w:tcW w:w="1276" w:type="dxa"/>
            <w:vMerge w:val="restart"/>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年度预算数</w:t>
            </w:r>
          </w:p>
        </w:tc>
        <w:tc>
          <w:tcPr>
            <w:tcW w:w="2976" w:type="dxa"/>
            <w:vMerge w:val="restart"/>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内容描述</w:t>
            </w:r>
          </w:p>
        </w:tc>
        <w:tc>
          <w:tcPr>
            <w:tcW w:w="2976" w:type="dxa"/>
            <w:vMerge w:val="restart"/>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绩效目标</w:t>
            </w:r>
          </w:p>
        </w:tc>
        <w:tc>
          <w:tcPr>
            <w:tcW w:w="1417" w:type="dxa"/>
            <w:vMerge w:val="restart"/>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绩效指标</w:t>
            </w:r>
          </w:p>
        </w:tc>
        <w:tc>
          <w:tcPr>
            <w:tcW w:w="2948" w:type="dxa"/>
            <w:gridSpan w:val="4"/>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评价标准</w:t>
            </w:r>
          </w:p>
        </w:tc>
      </w:tr>
      <w:tr>
        <w:trPr>
          <w:trHeight w:val="227"/>
          <w:tblHeader/>
        </w:trPr>
        <w:tc>
          <w:tcPr>
            <w:tcW w:w="2341" w:type="dxa"/>
            <w:vMerge/>
            <w:tcBorders>
              <w:top w:val="single" w:sz="6" w:space="0" w:color="000000"/>
              <w:left w:val="single" w:sz="6" w:space="0" w:color="000000"/>
              <w:right w:val="single" w:sz="6" w:space="0" w:color="000000"/>
            </w:tcBorders>
            <w:vAlign w:val="center"/>
          </w:tcPr>
          <w:p/>
        </w:tc>
        <w:tc>
          <w:tcPr>
            <w:tcW w:w="1276" w:type="dxa"/>
            <w:vMerge/>
            <w:tcBorders>
              <w:top w:val="single" w:sz="6" w:space="0" w:color="000000"/>
              <w:left w:val="single" w:sz="6" w:space="0" w:color="000000"/>
              <w:right w:val="single" w:sz="6" w:space="0" w:color="000000"/>
            </w:tcBorders>
            <w:vAlign w:val="center"/>
          </w:tcPr>
          <w:p/>
        </w:tc>
        <w:tc>
          <w:tcPr>
            <w:tcW w:w="2976" w:type="dxa"/>
            <w:vMerge/>
            <w:tcBorders>
              <w:top w:val="single" w:sz="6" w:space="0" w:color="000000"/>
              <w:left w:val="single" w:sz="6" w:space="0" w:color="000000"/>
              <w:right w:val="single" w:sz="6" w:space="0" w:color="000000"/>
            </w:tcBorders>
            <w:vAlign w:val="center"/>
          </w:tcPr>
          <w:p/>
        </w:tc>
        <w:tc>
          <w:tcPr>
            <w:tcW w:w="2976" w:type="dxa"/>
            <w:vMerge/>
            <w:tcBorders>
              <w:top w:val="single" w:sz="6" w:space="0" w:color="000000"/>
              <w:left w:val="single" w:sz="6" w:space="0" w:color="000000"/>
              <w:right w:val="single" w:sz="6" w:space="0" w:color="000000"/>
            </w:tcBorders>
            <w:vAlign w:val="center"/>
          </w:tcPr>
          <w:p/>
        </w:tc>
        <w:tc>
          <w:tcPr>
            <w:tcW w:w="1417" w:type="dxa"/>
            <w:vMerge/>
            <w:tcBorders>
              <w:top w:val="single" w:sz="6" w:space="0" w:color="000000"/>
              <w:left w:val="single" w:sz="6" w:space="0" w:color="000000"/>
              <w:right w:val="single" w:sz="6" w:space="0" w:color="000000"/>
            </w:tcBorders>
            <w:vAlign w:val="center"/>
          </w:tcPr>
          <w:p/>
        </w:tc>
        <w:tc>
          <w:tcPr>
            <w:tcW w:w="737"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优</w:t>
            </w:r>
          </w:p>
        </w:tc>
        <w:tc>
          <w:tcPr>
            <w:tcW w:w="737"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良</w:t>
            </w:r>
          </w:p>
        </w:tc>
        <w:tc>
          <w:tcPr>
            <w:tcW w:w="737"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中</w:t>
            </w:r>
          </w:p>
        </w:tc>
        <w:tc>
          <w:tcPr>
            <w:tcW w:w="737"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差</w:t>
            </w:r>
          </w:p>
        </w:tc>
      </w:tr>
      <w:tr>
        <w:trPr>
          <w:trHeight w:val="227"/>
        </w:trPr>
        <w:tc>
          <w:tcPr>
            <w:tcW w:w="2341"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b/>
              </w:rPr>
            </w:pPr>
            <w:r>
              <w:rPr>
                <w:rFonts w:ascii="方正书宋_GBK" w:eastAsia="方正书宋_GBK" w:hint="eastAsia"/>
                <w:b/>
              </w:rPr>
              <w:t>科学技术普及</w:t>
            </w:r>
          </w:p>
        </w:tc>
        <w:tc>
          <w:tcPr>
            <w:tcW w:w="1276"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p>
        </w:tc>
        <w:tc>
          <w:tcPr>
            <w:tcW w:w="2976"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实施《全民科学素质行动计划纲要》，提升科普能力，开展多种形式的科普活动。</w:t>
            </w:r>
          </w:p>
        </w:tc>
        <w:tc>
          <w:tcPr>
            <w:tcW w:w="2976"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开展科普活动，提升科普能力</w:t>
            </w:r>
          </w:p>
        </w:tc>
        <w:tc>
          <w:tcPr>
            <w:tcW w:w="1417"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p>
        </w:tc>
        <w:tc>
          <w:tcPr>
            <w:tcW w:w="737"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rPr>
            </w:pPr>
          </w:p>
        </w:tc>
        <w:tc>
          <w:tcPr>
            <w:tcW w:w="737"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rPr>
            </w:pPr>
          </w:p>
        </w:tc>
        <w:tc>
          <w:tcPr>
            <w:tcW w:w="737"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rPr>
            </w:pPr>
          </w:p>
        </w:tc>
        <w:tc>
          <w:tcPr>
            <w:tcW w:w="737"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rPr>
            </w:pPr>
          </w:p>
        </w:tc>
      </w:tr>
      <w:tr>
        <w:trPr>
          <w:trHeight w:val="227"/>
        </w:trPr>
        <w:tc>
          <w:tcPr>
            <w:tcW w:w="2341" w:type="dxa"/>
            <w:vMerge w:val="restart"/>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b/>
              </w:rPr>
            </w:pPr>
            <w:r>
              <w:rPr>
                <w:rFonts w:ascii="方正书宋_GBK" w:eastAsia="方正书宋_GBK" w:hint="eastAsia"/>
                <w:b/>
              </w:rPr>
              <w:t>　　科普能力建设</w:t>
            </w:r>
          </w:p>
        </w:tc>
        <w:tc>
          <w:tcPr>
            <w:tcW w:w="1276" w:type="dxa"/>
            <w:vMerge w:val="restart"/>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p>
        </w:tc>
        <w:tc>
          <w:tcPr>
            <w:tcW w:w="2976" w:type="dxa"/>
            <w:vMerge w:val="restart"/>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实施社会科普资源开发共享、县级特色科普工程，加强大众媒体科普传播能力建设，实施科学教育培训工程，培养科普组织和科普人才。</w:t>
            </w:r>
          </w:p>
        </w:tc>
        <w:tc>
          <w:tcPr>
            <w:tcW w:w="2976" w:type="dxa"/>
            <w:vMerge w:val="restart"/>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实现社会科普资源共享程度提高，科普传播能力不断增强。</w:t>
            </w:r>
          </w:p>
        </w:tc>
        <w:tc>
          <w:tcPr>
            <w:tcW w:w="1417"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具备基本公民科学素质比例</w:t>
            </w:r>
          </w:p>
        </w:tc>
        <w:tc>
          <w:tcPr>
            <w:tcW w:w="737"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5.5%</w:t>
            </w:r>
          </w:p>
        </w:tc>
        <w:tc>
          <w:tcPr>
            <w:tcW w:w="737"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5%</w:t>
            </w:r>
          </w:p>
        </w:tc>
        <w:tc>
          <w:tcPr>
            <w:tcW w:w="737"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4.8%</w:t>
            </w:r>
          </w:p>
        </w:tc>
        <w:tc>
          <w:tcPr>
            <w:tcW w:w="737"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4.8</w:t>
            </w:r>
          </w:p>
        </w:tc>
      </w:tr>
      <w:tr>
        <w:trPr>
          <w:trHeight w:val="227"/>
        </w:trPr>
        <w:tc>
          <w:tcPr>
            <w:tcW w:w="2341" w:type="dxa"/>
            <w:vMerge/>
            <w:tcBorders>
              <w:top w:val="single" w:sz="6" w:space="0" w:color="000000"/>
              <w:left w:val="single" w:sz="6" w:space="0" w:color="000000"/>
              <w:right w:val="single" w:sz="6" w:space="0" w:color="000000"/>
            </w:tcBorders>
            <w:vAlign w:val="center"/>
          </w:tcPr>
          <w:p/>
        </w:tc>
        <w:tc>
          <w:tcPr>
            <w:tcW w:w="1276" w:type="dxa"/>
            <w:vMerge/>
            <w:tcBorders>
              <w:top w:val="single" w:sz="6" w:space="0" w:color="000000"/>
              <w:left w:val="single" w:sz="6" w:space="0" w:color="000000"/>
              <w:right w:val="single" w:sz="6" w:space="0" w:color="000000"/>
            </w:tcBorders>
            <w:vAlign w:val="center"/>
          </w:tcPr>
          <w:p/>
        </w:tc>
        <w:tc>
          <w:tcPr>
            <w:tcW w:w="2976" w:type="dxa"/>
            <w:vMerge/>
            <w:tcBorders>
              <w:top w:val="single" w:sz="6" w:space="0" w:color="000000"/>
              <w:left w:val="single" w:sz="6" w:space="0" w:color="000000"/>
              <w:right w:val="single" w:sz="6" w:space="0" w:color="000000"/>
            </w:tcBorders>
            <w:vAlign w:val="center"/>
          </w:tcPr>
          <w:p/>
        </w:tc>
        <w:tc>
          <w:tcPr>
            <w:tcW w:w="2976" w:type="dxa"/>
            <w:vMerge/>
            <w:tcBorders>
              <w:top w:val="single" w:sz="6" w:space="0" w:color="000000"/>
              <w:left w:val="single" w:sz="6" w:space="0" w:color="000000"/>
              <w:right w:val="single" w:sz="6" w:space="0" w:color="000000"/>
            </w:tcBorders>
            <w:vAlign w:val="center"/>
          </w:tcPr>
          <w:p/>
        </w:tc>
        <w:tc>
          <w:tcPr>
            <w:tcW w:w="1417"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科普网络信息数据更新率</w:t>
            </w:r>
          </w:p>
        </w:tc>
        <w:tc>
          <w:tcPr>
            <w:tcW w:w="737"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96%</w:t>
            </w:r>
          </w:p>
        </w:tc>
        <w:tc>
          <w:tcPr>
            <w:tcW w:w="737"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85%</w:t>
            </w:r>
          </w:p>
        </w:tc>
        <w:tc>
          <w:tcPr>
            <w:tcW w:w="737"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85%</w:t>
            </w:r>
          </w:p>
        </w:tc>
      </w:tr>
      <w:tr>
        <w:trPr>
          <w:trHeight w:val="227"/>
        </w:trPr>
        <w:tc>
          <w:tcPr>
            <w:tcW w:w="2341"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b/>
              </w:rPr>
            </w:pPr>
            <w:r>
              <w:rPr>
                <w:rFonts w:ascii="方正书宋_GBK" w:eastAsia="方正书宋_GBK" w:hint="eastAsia"/>
                <w:b/>
              </w:rPr>
              <w:t>助力创新驱动发展</w:t>
            </w:r>
          </w:p>
        </w:tc>
        <w:tc>
          <w:tcPr>
            <w:tcW w:w="1276"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p>
        </w:tc>
        <w:tc>
          <w:tcPr>
            <w:tcW w:w="2976"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发挥科协组织独特优势，促进县域经济结构调整、产业转型升级。</w:t>
            </w:r>
          </w:p>
        </w:tc>
        <w:tc>
          <w:tcPr>
            <w:tcW w:w="2976"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培育创建科技型中小企业，推动和引领传统产业转型和新兴产业发展。</w:t>
            </w:r>
          </w:p>
        </w:tc>
        <w:tc>
          <w:tcPr>
            <w:tcW w:w="1417"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p>
        </w:tc>
        <w:tc>
          <w:tcPr>
            <w:tcW w:w="737"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rPr>
            </w:pPr>
          </w:p>
        </w:tc>
        <w:tc>
          <w:tcPr>
            <w:tcW w:w="737"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rPr>
            </w:pPr>
          </w:p>
        </w:tc>
        <w:tc>
          <w:tcPr>
            <w:tcW w:w="737"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rPr>
            </w:pPr>
          </w:p>
        </w:tc>
        <w:tc>
          <w:tcPr>
            <w:tcW w:w="737"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rPr>
            </w:pPr>
          </w:p>
        </w:tc>
      </w:tr>
      <w:tr>
        <w:trPr>
          <w:trHeight w:val="227"/>
        </w:trPr>
        <w:tc>
          <w:tcPr>
            <w:tcW w:w="2341"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b/>
              </w:rPr>
            </w:pPr>
            <w:r>
              <w:rPr>
                <w:rFonts w:ascii="方正书宋_GBK" w:eastAsia="方正书宋_GBK" w:hint="eastAsia"/>
                <w:b/>
              </w:rPr>
              <w:t>　　培育、扶持科技型中小企业</w:t>
            </w:r>
          </w:p>
        </w:tc>
        <w:tc>
          <w:tcPr>
            <w:tcW w:w="1276"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p>
        </w:tc>
        <w:tc>
          <w:tcPr>
            <w:tcW w:w="2976"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利用科协和学会的人才优势，帮扶一批科技型中小企业，促进全县科技型中小企业发展。</w:t>
            </w:r>
          </w:p>
        </w:tc>
        <w:tc>
          <w:tcPr>
            <w:tcW w:w="2976"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帮扶科技型中小企业</w:t>
            </w:r>
          </w:p>
        </w:tc>
        <w:tc>
          <w:tcPr>
            <w:tcW w:w="1417"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帮扶科技型中小企业的数量</w:t>
            </w:r>
          </w:p>
        </w:tc>
        <w:tc>
          <w:tcPr>
            <w:tcW w:w="737"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6</w:t>
            </w:r>
          </w:p>
        </w:tc>
        <w:tc>
          <w:tcPr>
            <w:tcW w:w="737"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rPr>
            </w:pPr>
            <w:r>
              <w:rPr>
                <w:rFonts w:ascii="方正书宋_GBK" w:eastAsia="方正书宋_GBK"/>
              </w:rPr>
              <w:t>5</w:t>
            </w:r>
          </w:p>
        </w:tc>
        <w:tc>
          <w:tcPr>
            <w:tcW w:w="737"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rPr>
            </w:pPr>
            <w:r>
              <w:rPr>
                <w:rFonts w:ascii="方正书宋_GBK" w:eastAsia="方正书宋_GBK"/>
              </w:rPr>
              <w:t>4</w:t>
            </w:r>
          </w:p>
        </w:tc>
        <w:tc>
          <w:tcPr>
            <w:tcW w:w="737"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4</w:t>
            </w:r>
          </w:p>
        </w:tc>
      </w:tr>
      <w:tr>
        <w:trPr>
          <w:trHeight w:val="227"/>
        </w:trPr>
        <w:tc>
          <w:tcPr>
            <w:tcW w:w="2341"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b/>
              </w:rPr>
            </w:pPr>
            <w:r>
              <w:rPr>
                <w:rFonts w:ascii="方正书宋_GBK" w:eastAsia="方正书宋_GBK" w:hint="eastAsia"/>
                <w:b/>
              </w:rPr>
              <w:t>政务管理</w:t>
            </w:r>
          </w:p>
        </w:tc>
        <w:tc>
          <w:tcPr>
            <w:tcW w:w="1276"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p>
        </w:tc>
        <w:tc>
          <w:tcPr>
            <w:tcW w:w="2976"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负责系统综合业务管理和机关综合管理。</w:t>
            </w:r>
          </w:p>
        </w:tc>
        <w:tc>
          <w:tcPr>
            <w:tcW w:w="2976"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加强科协机关自身建设，提高机关服务能力</w:t>
            </w:r>
          </w:p>
        </w:tc>
        <w:tc>
          <w:tcPr>
            <w:tcW w:w="1417"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p>
        </w:tc>
        <w:tc>
          <w:tcPr>
            <w:tcW w:w="737"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rPr>
            </w:pPr>
          </w:p>
        </w:tc>
        <w:tc>
          <w:tcPr>
            <w:tcW w:w="737"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rPr>
            </w:pPr>
          </w:p>
        </w:tc>
        <w:tc>
          <w:tcPr>
            <w:tcW w:w="737"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rPr>
            </w:pPr>
          </w:p>
        </w:tc>
        <w:tc>
          <w:tcPr>
            <w:tcW w:w="737"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rPr>
            </w:pPr>
          </w:p>
        </w:tc>
      </w:tr>
      <w:tr>
        <w:trPr>
          <w:trHeight w:val="227"/>
        </w:trPr>
        <w:tc>
          <w:tcPr>
            <w:tcW w:w="2341"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b/>
              </w:rPr>
            </w:pPr>
            <w:r>
              <w:rPr>
                <w:rFonts w:ascii="方正书宋_GBK" w:eastAsia="方正书宋_GBK" w:hint="eastAsia"/>
                <w:b/>
              </w:rPr>
              <w:t>　　综合业务管理</w:t>
            </w:r>
          </w:p>
        </w:tc>
        <w:tc>
          <w:tcPr>
            <w:tcW w:w="1276"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p>
        </w:tc>
        <w:tc>
          <w:tcPr>
            <w:tcW w:w="2976"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开展专题调研，制定科学普及发展规划，保障机关网站运行、科普项目管理、机关织建设等各项工作开展。</w:t>
            </w:r>
          </w:p>
        </w:tc>
        <w:tc>
          <w:tcPr>
            <w:tcW w:w="2976"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各类科普业务工作谋划到位、开展有序，助推科普事业发展能力提升。</w:t>
            </w:r>
          </w:p>
        </w:tc>
        <w:tc>
          <w:tcPr>
            <w:tcW w:w="1417"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科科普管理业务工作保障率</w:t>
            </w:r>
          </w:p>
        </w:tc>
        <w:tc>
          <w:tcPr>
            <w:tcW w:w="737"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rPr>
            </w:pPr>
            <w:r>
              <w:rPr>
                <w:rFonts w:ascii="方正书宋_GBK" w:eastAsia="方正书宋_GBK"/>
              </w:rPr>
              <w:t>100%</w:t>
            </w:r>
          </w:p>
        </w:tc>
        <w:tc>
          <w:tcPr>
            <w:tcW w:w="737"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r>
      <w:tr>
        <w:trPr>
          <w:trHeight w:val="227"/>
        </w:trPr>
        <w:tc>
          <w:tcPr>
            <w:tcW w:w="2341"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b/>
              </w:rPr>
            </w:pPr>
            <w:r>
              <w:rPr>
                <w:rFonts w:ascii="方正书宋_GBK" w:eastAsia="方正书宋_GBK" w:hint="eastAsia"/>
                <w:b/>
              </w:rPr>
              <w:t>　　综合事务管理</w:t>
            </w:r>
          </w:p>
        </w:tc>
        <w:tc>
          <w:tcPr>
            <w:tcW w:w="1276"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p>
        </w:tc>
        <w:tc>
          <w:tcPr>
            <w:tcW w:w="2976"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开展机关组织建设等保障类相关工作</w:t>
            </w:r>
          </w:p>
        </w:tc>
        <w:tc>
          <w:tcPr>
            <w:tcW w:w="2976"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保障机关工作正常高效运转</w:t>
            </w:r>
          </w:p>
        </w:tc>
        <w:tc>
          <w:tcPr>
            <w:tcW w:w="1417"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各项综合事务工作完成率</w:t>
            </w:r>
          </w:p>
        </w:tc>
        <w:tc>
          <w:tcPr>
            <w:tcW w:w="737"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rPr>
            </w:pPr>
            <w:r>
              <w:rPr>
                <w:rFonts w:ascii="方正书宋_GBK" w:eastAsia="方正书宋_GBK"/>
              </w:rPr>
              <w:t>100%</w:t>
            </w:r>
          </w:p>
        </w:tc>
        <w:tc>
          <w:tcPr>
            <w:tcW w:w="737"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r>
    </w:tbl>
    <w:p>
      <w:pPr>
        <w:autoSpaceDE w:val="0"/>
        <w:autoSpaceDN w:val="0"/>
        <w:adjustRightInd w:val="0"/>
        <w:ind w:left="198" w:firstLineChars="200" w:firstLine="640"/>
        <w:jc w:val="left"/>
        <w:rPr>
          <w:rFonts w:ascii="Times New Roman" w:eastAsia="方正仿宋_GBK" w:cs="Times New Roman" w:hAnsi="Times New Roman"/>
          <w:b/>
          <w:sz w:val="32"/>
          <w:szCs w:val="32"/>
        </w:rPr>
      </w:pPr>
    </w:p>
    <w:p>
      <w:pPr>
        <w:autoSpaceDE w:val="0"/>
        <w:autoSpaceDN w:val="0"/>
        <w:adjustRightInd w:val="0"/>
        <w:ind w:firstLineChars="300" w:firstLine="840"/>
        <w:jc w:val="left"/>
        <w:rPr>
          <w:rFonts w:ascii="黑体" w:eastAsia="黑体" w:cs="Times New Roman" w:hAnsi="黑体"/>
          <w:sz w:val="32"/>
          <w:szCs w:val="32"/>
        </w:rPr>
      </w:pPr>
      <w:r>
        <w:rPr>
          <w:rFonts w:ascii="方正仿宋_GBK" w:eastAsia="方正仿宋_GBK" w:hint="eastAsia"/>
          <w:b/>
          <w:sz w:val="28"/>
        </w:rPr>
        <w:t xml:space="preserve">  </w:t>
      </w:r>
      <w:bookmarkEnd w:id="0"/>
      <w:r>
        <w:rPr>
          <w:rFonts w:ascii="黑体" w:eastAsia="黑体" w:cs="Times New Roman" w:hAnsi="黑体" w:hint="eastAsia"/>
          <w:sz w:val="32"/>
          <w:szCs w:val="32"/>
        </w:rPr>
        <w:t>六、政府采购预算情况</w:t>
      </w:r>
    </w:p>
    <w:p>
      <w:pPr>
        <w:ind w:firstLineChars="200" w:firstLine="640"/>
        <w:outlineLvl w:val="0"/>
        <w:rPr>
          <w:rFonts w:ascii="仿宋" w:eastAsia="仿宋" w:cs="Times New Roman" w:hAnsi="仿宋"/>
          <w:sz w:val="32"/>
          <w:szCs w:val="24"/>
        </w:rPr>
      </w:pPr>
      <w:bookmarkStart w:id="3" w:name="_Toc471398468"/>
      <w:r>
        <w:rPr>
          <w:rFonts w:ascii="Times New Roman" w:eastAsia="仿宋" w:cs="Times New Roman" w:hAnsi="Times New Roman"/>
          <w:sz w:val="32"/>
          <w:szCs w:val="24"/>
        </w:rPr>
        <w:t xml:space="preserve"> </w:t>
      </w:r>
      <w:r>
        <w:rPr>
          <w:rFonts w:ascii="Times New Roman" w:eastAsia="仿宋" w:cs="Times New Roman" w:hAnsi="Times New Roman" w:hint="eastAsia"/>
          <w:sz w:val="32"/>
          <w:szCs w:val="24"/>
        </w:rPr>
        <w:t xml:space="preserve">  </w:t>
      </w:r>
      <w:r>
        <w:rPr>
          <w:rFonts w:ascii="Times New Roman" w:eastAsia="仿宋" w:cs="Times New Roman" w:hAnsi="Times New Roman"/>
          <w:sz w:val="32"/>
          <w:szCs w:val="24"/>
        </w:rPr>
        <w:t>20</w:t>
      </w:r>
      <w:r>
        <w:rPr>
          <w:rFonts w:ascii="Times New Roman" w:eastAsia="仿宋" w:cs="Times New Roman" w:hAnsi="Times New Roman" w:hint="eastAsia"/>
          <w:sz w:val="32"/>
          <w:szCs w:val="24"/>
        </w:rPr>
        <w:t>20</w:t>
      </w:r>
      <w:r>
        <w:rPr>
          <w:rFonts w:ascii="Times New Roman" w:eastAsia="仿宋" w:cs="Times New Roman" w:hAnsi="Times New Roman"/>
          <w:sz w:val="32"/>
          <w:szCs w:val="24"/>
        </w:rPr>
        <w:t>年，</w:t>
      </w:r>
      <w:bookmarkEnd w:id="3"/>
      <w:r>
        <w:rPr>
          <w:rFonts w:ascii="仿宋" w:eastAsia="仿宋" w:cs="Times New Roman" w:hAnsi="仿宋" w:hint="eastAsia"/>
          <w:sz w:val="32"/>
          <w:szCs w:val="24"/>
        </w:rPr>
        <w:t>我单位没有安排政府采购预算，政府采购预算金额为</w:t>
      </w:r>
      <w:r>
        <w:rPr>
          <w:rFonts w:ascii="仿宋" w:eastAsia="仿宋" w:cs="Times New Roman" w:hAnsi="仿宋"/>
          <w:sz w:val="32"/>
          <w:szCs w:val="24"/>
        </w:rPr>
        <w:t>0</w:t>
      </w:r>
      <w:r>
        <w:rPr>
          <w:rFonts w:ascii="仿宋" w:eastAsia="仿宋" w:cs="Times New Roman" w:hAnsi="仿宋" w:hint="eastAsia"/>
          <w:sz w:val="32"/>
          <w:szCs w:val="24"/>
        </w:rPr>
        <w:t>万元</w:t>
      </w:r>
    </w:p>
    <w:tbl>
      <w:tblPr>
        <w:jc w:val="center"/>
        <w:tblW w:w="1562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3106"/>
        <w:gridCol w:w="1134"/>
        <w:gridCol w:w="1559"/>
        <w:gridCol w:w="1417"/>
        <w:gridCol w:w="709"/>
        <w:gridCol w:w="851"/>
        <w:gridCol w:w="992"/>
        <w:gridCol w:w="992"/>
        <w:gridCol w:w="992"/>
        <w:gridCol w:w="993"/>
        <w:gridCol w:w="1134"/>
        <w:gridCol w:w="850"/>
        <w:gridCol w:w="893"/>
      </w:tblGrid>
      <w:tr>
        <w:trPr>
          <w:cantSplit/>
          <w:tblHeader/>
        </w:trPr>
        <w:tc>
          <w:tcPr>
            <w:tcW w:w="9768" w:type="dxa"/>
            <w:gridSpan w:val="7"/>
            <w:tcBorders>
              <w:top w:val="single" w:sz="6" w:space="0" w:color="FFFFFF"/>
              <w:left w:val="single" w:sz="6" w:space="0" w:color="FFFFFF"/>
              <w:right w:val="single" w:sz="6" w:space="0" w:color="FFFFFF"/>
            </w:tcBorders>
            <w:vAlign w:val="center"/>
          </w:tcPr>
          <w:p>
            <w:pPr>
              <w:spacing w:line="300" w:lineRule="exact"/>
              <w:jc w:val="left"/>
              <w:rPr>
                <w:rFonts w:ascii="方正小标宋_GBK" w:eastAsia="方正小标宋_GBK" w:hint="eastAsia"/>
                <w:sz w:val="24"/>
              </w:rPr>
            </w:pPr>
            <w:r>
              <w:rPr>
                <w:rFonts w:ascii="方正小标宋_GBK" w:eastAsia="方正小标宋_GBK" w:hint="eastAsia"/>
                <w:sz w:val="24"/>
              </w:rPr>
              <w:t>731</w:t>
            </w:r>
            <w:r>
              <w:rPr>
                <w:rFonts w:ascii="方正小标宋_GBK" w:eastAsia="方正小标宋_GBK"/>
                <w:sz w:val="24"/>
              </w:rPr>
              <w:t xml:space="preserve">   </w:t>
            </w:r>
            <w:r>
              <w:rPr>
                <w:rFonts w:ascii="方正小标宋_GBK" w:eastAsia="方正小标宋_GBK" w:hint="eastAsia"/>
                <w:sz w:val="24"/>
              </w:rPr>
              <w:t>深泽县科学技术协会</w:t>
            </w:r>
          </w:p>
        </w:tc>
        <w:tc>
          <w:tcPr>
            <w:tcW w:w="5854" w:type="dxa"/>
            <w:gridSpan w:val="6"/>
            <w:tcBorders>
              <w:top w:val="single" w:sz="6" w:space="0" w:color="FFFFFF"/>
              <w:left w:val="single" w:sz="6" w:space="0" w:color="FFFFFF"/>
              <w:right w:val="single" w:sz="6" w:space="0" w:color="FFFFFF"/>
            </w:tcBorders>
            <w:vAlign w:val="center"/>
          </w:tcPr>
          <w:p>
            <w:pPr>
              <w:spacing w:line="300" w:lineRule="exact"/>
              <w:jc w:val="right"/>
              <w:rPr>
                <w:rFonts w:ascii="方正书宋_GBK" w:eastAsia="方正书宋_GBK"/>
                <w:sz w:val="24"/>
              </w:rPr>
            </w:pPr>
            <w:r>
              <w:rPr>
                <w:rFonts w:ascii="方正书宋_GBK" w:eastAsia="方正书宋_GBK" w:hint="eastAsia"/>
                <w:sz w:val="24"/>
              </w:rPr>
              <w:t>单位：万元</w:t>
            </w:r>
          </w:p>
        </w:tc>
      </w:tr>
      <w:tr>
        <w:trPr>
          <w:cantSplit/>
          <w:tblHeader/>
        </w:trPr>
        <w:tc>
          <w:tcPr>
            <w:tcW w:w="4240" w:type="dxa"/>
            <w:gridSpan w:val="2"/>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政府采购项目来源</w:t>
            </w:r>
          </w:p>
        </w:tc>
        <w:tc>
          <w:tcPr>
            <w:tcW w:w="1559" w:type="dxa"/>
            <w:vMerge w:val="restart"/>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采购物品名称</w:t>
            </w:r>
          </w:p>
        </w:tc>
        <w:tc>
          <w:tcPr>
            <w:tcW w:w="1417" w:type="dxa"/>
            <w:vMerge w:val="restart"/>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政府采购目录序号</w:t>
            </w:r>
          </w:p>
        </w:tc>
        <w:tc>
          <w:tcPr>
            <w:tcW w:w="709" w:type="dxa"/>
            <w:vMerge w:val="restart"/>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计量  单位</w:t>
            </w:r>
          </w:p>
        </w:tc>
        <w:tc>
          <w:tcPr>
            <w:tcW w:w="851" w:type="dxa"/>
            <w:vMerge w:val="restart"/>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数量</w:t>
            </w:r>
          </w:p>
        </w:tc>
        <w:tc>
          <w:tcPr>
            <w:tcW w:w="992" w:type="dxa"/>
            <w:vMerge w:val="restart"/>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单价</w:t>
            </w:r>
          </w:p>
        </w:tc>
        <w:tc>
          <w:tcPr>
            <w:tcW w:w="5854" w:type="dxa"/>
            <w:gridSpan w:val="6"/>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政府采购金额（当年部门预算安排资金）</w:t>
            </w:r>
          </w:p>
        </w:tc>
      </w:tr>
      <w:tr>
        <w:trPr>
          <w:cantSplit/>
          <w:tblHeader/>
        </w:trPr>
        <w:tc>
          <w:tcPr>
            <w:tcW w:w="3106"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项目名称</w:t>
            </w:r>
          </w:p>
        </w:tc>
        <w:tc>
          <w:tcPr>
            <w:tcW w:w="1134"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预算资金</w:t>
            </w:r>
          </w:p>
        </w:tc>
        <w:tc>
          <w:tcPr>
            <w:tcW w:w="1559" w:type="dxa"/>
            <w:vMerge/>
            <w:tcBorders>
              <w:top w:val="single" w:sz="6" w:space="0" w:color="000000"/>
              <w:left w:val="single" w:sz="6" w:space="0" w:color="000000"/>
              <w:right w:val="single" w:sz="6" w:space="0" w:color="000000"/>
            </w:tcBorders>
            <w:vAlign w:val="center"/>
          </w:tcPr>
          <w:p/>
        </w:tc>
        <w:tc>
          <w:tcPr>
            <w:tcW w:w="1417" w:type="dxa"/>
            <w:vMerge/>
            <w:tcBorders>
              <w:top w:val="single" w:sz="6" w:space="0" w:color="000000"/>
              <w:left w:val="single" w:sz="6" w:space="0" w:color="000000"/>
              <w:right w:val="single" w:sz="6" w:space="0" w:color="000000"/>
            </w:tcBorders>
            <w:vAlign w:val="center"/>
          </w:tcPr>
          <w:p/>
        </w:tc>
        <w:tc>
          <w:tcPr>
            <w:tcW w:w="709" w:type="dxa"/>
            <w:vMerge/>
            <w:tcBorders>
              <w:top w:val="single" w:sz="6" w:space="0" w:color="000000"/>
              <w:left w:val="single" w:sz="6" w:space="0" w:color="000000"/>
              <w:right w:val="single" w:sz="6" w:space="0" w:color="000000"/>
            </w:tcBorders>
            <w:vAlign w:val="center"/>
          </w:tcPr>
          <w:p/>
        </w:tc>
        <w:tc>
          <w:tcPr>
            <w:tcW w:w="851" w:type="dxa"/>
            <w:vMerge/>
            <w:tcBorders>
              <w:top w:val="single" w:sz="6" w:space="0" w:color="000000"/>
              <w:left w:val="single" w:sz="6" w:space="0" w:color="000000"/>
              <w:right w:val="single" w:sz="6" w:space="0" w:color="000000"/>
            </w:tcBorders>
            <w:vAlign w:val="center"/>
          </w:tcPr>
          <w:p/>
        </w:tc>
        <w:tc>
          <w:tcPr>
            <w:tcW w:w="992" w:type="dxa"/>
            <w:vMerge/>
            <w:tcBorders>
              <w:top w:val="single" w:sz="6" w:space="0" w:color="000000"/>
              <w:left w:val="single" w:sz="6" w:space="0" w:color="000000"/>
              <w:right w:val="single" w:sz="6" w:space="0" w:color="000000"/>
            </w:tcBorders>
            <w:vAlign w:val="center"/>
          </w:tcPr>
          <w:p/>
        </w:tc>
        <w:tc>
          <w:tcPr>
            <w:tcW w:w="992"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合计</w:t>
            </w:r>
          </w:p>
        </w:tc>
        <w:tc>
          <w:tcPr>
            <w:tcW w:w="992"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一般公共预算拨款</w:t>
            </w:r>
          </w:p>
        </w:tc>
        <w:tc>
          <w:tcPr>
            <w:tcW w:w="993"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基金预算拨款</w:t>
            </w:r>
          </w:p>
        </w:tc>
        <w:tc>
          <w:tcPr>
            <w:tcW w:w="1134"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国有资本经营预算拨款</w:t>
            </w:r>
          </w:p>
        </w:tc>
        <w:tc>
          <w:tcPr>
            <w:tcW w:w="850"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财政专户核拨</w:t>
            </w:r>
          </w:p>
        </w:tc>
        <w:tc>
          <w:tcPr>
            <w:tcW w:w="893"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其他来源收入</w:t>
            </w:r>
          </w:p>
        </w:tc>
      </w:tr>
      <w:tr>
        <w:trPr>
          <w:cantSplit/>
        </w:trPr>
        <w:tc>
          <w:tcPr>
            <w:tcW w:w="3106"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无</w:t>
            </w:r>
          </w:p>
        </w:tc>
        <w:tc>
          <w:tcPr>
            <w:tcW w:w="1134" w:type="dxa"/>
            <w:tcBorders>
              <w:top w:val="single" w:sz="6" w:space="0" w:color="000000"/>
              <w:left w:val="single" w:sz="6" w:space="0" w:color="000000"/>
              <w:right w:val="single" w:sz="6" w:space="0" w:color="000000"/>
            </w:tcBorders>
            <w:vAlign w:val="center"/>
          </w:tcPr>
          <w:p>
            <w:pPr>
              <w:spacing w:line="300" w:lineRule="exact"/>
              <w:jc w:val="right"/>
              <w:rPr>
                <w:rFonts w:ascii="方正书宋_GBK" w:eastAsia="方正书宋_GBK"/>
                <w:b/>
              </w:rPr>
            </w:pPr>
          </w:p>
        </w:tc>
        <w:tc>
          <w:tcPr>
            <w:tcW w:w="1559"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b/>
              </w:rPr>
            </w:pPr>
          </w:p>
        </w:tc>
        <w:tc>
          <w:tcPr>
            <w:tcW w:w="1417"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b/>
              </w:rPr>
            </w:pPr>
          </w:p>
        </w:tc>
        <w:tc>
          <w:tcPr>
            <w:tcW w:w="709"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b/>
              </w:rPr>
            </w:pPr>
          </w:p>
        </w:tc>
        <w:tc>
          <w:tcPr>
            <w:tcW w:w="851" w:type="dxa"/>
            <w:tcBorders>
              <w:top w:val="single" w:sz="6" w:space="0" w:color="000000"/>
              <w:left w:val="single" w:sz="6" w:space="0" w:color="000000"/>
              <w:right w:val="single" w:sz="6" w:space="0" w:color="000000"/>
            </w:tcBorders>
            <w:vAlign w:val="center"/>
          </w:tcPr>
          <w:p>
            <w:pPr>
              <w:spacing w:line="300" w:lineRule="exact"/>
              <w:jc w:val="right"/>
              <w:rPr>
                <w:rFonts w:ascii="方正书宋_GBK" w:eastAsia="方正书宋_GBK"/>
                <w:b/>
              </w:rPr>
            </w:pPr>
          </w:p>
        </w:tc>
        <w:tc>
          <w:tcPr>
            <w:tcW w:w="992" w:type="dxa"/>
            <w:tcBorders>
              <w:top w:val="single" w:sz="6" w:space="0" w:color="000000"/>
              <w:left w:val="single" w:sz="6" w:space="0" w:color="000000"/>
              <w:right w:val="single" w:sz="6" w:space="0" w:color="000000"/>
            </w:tcBorders>
            <w:vAlign w:val="center"/>
          </w:tcPr>
          <w:p>
            <w:pPr>
              <w:spacing w:line="300" w:lineRule="exact"/>
              <w:jc w:val="right"/>
              <w:rPr>
                <w:rFonts w:ascii="方正书宋_GBK" w:eastAsia="方正书宋_GBK"/>
                <w:b/>
              </w:rPr>
            </w:pPr>
          </w:p>
        </w:tc>
        <w:tc>
          <w:tcPr>
            <w:tcW w:w="992" w:type="dxa"/>
            <w:tcBorders>
              <w:top w:val="single" w:sz="6" w:space="0" w:color="000000"/>
              <w:left w:val="single" w:sz="6" w:space="0" w:color="000000"/>
              <w:right w:val="single" w:sz="6" w:space="0" w:color="000000"/>
            </w:tcBorders>
            <w:vAlign w:val="center"/>
          </w:tcPr>
          <w:p>
            <w:pPr>
              <w:adjustRightInd w:val="0"/>
              <w:snapToGrid w:val="0"/>
              <w:jc w:val="right"/>
              <w:rPr>
                <w:rFonts w:ascii="方正书宋_GBK" w:eastAsia="方正书宋_GBK" w:cs="宋体" w:hAnsi="宋体"/>
                <w:b/>
                <w:bCs/>
                <w:color w:val="000000"/>
                <w:szCs w:val="21"/>
              </w:rPr>
            </w:pPr>
            <w:r>
              <w:rPr>
                <w:rFonts w:ascii="方正书宋_GBK" w:eastAsia="方正书宋_GBK" w:cs="宋体" w:hAnsi="宋体" w:hint="eastAsia"/>
                <w:b/>
                <w:bCs/>
                <w:color w:val="000000"/>
                <w:szCs w:val="21"/>
              </w:rPr>
              <w:t>0</w:t>
            </w:r>
          </w:p>
        </w:tc>
        <w:tc>
          <w:tcPr>
            <w:tcW w:w="992" w:type="dxa"/>
            <w:tcBorders>
              <w:top w:val="single" w:sz="6" w:space="0" w:color="000000"/>
              <w:left w:val="single" w:sz="6" w:space="0" w:color="000000"/>
              <w:right w:val="single" w:sz="6" w:space="0" w:color="000000"/>
            </w:tcBorders>
            <w:vAlign w:val="center"/>
          </w:tcPr>
          <w:p>
            <w:pPr>
              <w:adjustRightInd w:val="0"/>
              <w:snapToGrid w:val="0"/>
              <w:jc w:val="right"/>
              <w:rPr>
                <w:rFonts w:ascii="方正书宋_GBK" w:eastAsia="方正书宋_GBK" w:cs="宋体" w:hAnsi="宋体"/>
                <w:b/>
                <w:bCs/>
                <w:color w:val="000000"/>
                <w:szCs w:val="21"/>
              </w:rPr>
            </w:pPr>
          </w:p>
        </w:tc>
        <w:tc>
          <w:tcPr>
            <w:tcW w:w="993" w:type="dxa"/>
            <w:tcBorders>
              <w:top w:val="single" w:sz="6" w:space="0" w:color="000000"/>
              <w:left w:val="single" w:sz="6" w:space="0" w:color="000000"/>
              <w:right w:val="single" w:sz="6" w:space="0" w:color="000000"/>
            </w:tcBorders>
            <w:vAlign w:val="center"/>
          </w:tcPr>
          <w:p>
            <w:pPr>
              <w:spacing w:line="300" w:lineRule="exact"/>
              <w:jc w:val="right"/>
              <w:rPr>
                <w:rFonts w:ascii="方正书宋_GBK" w:eastAsia="方正书宋_GBK"/>
                <w:b/>
              </w:rPr>
            </w:pPr>
          </w:p>
        </w:tc>
        <w:tc>
          <w:tcPr>
            <w:tcW w:w="1134" w:type="dxa"/>
            <w:tcBorders>
              <w:top w:val="single" w:sz="6" w:space="0" w:color="000000"/>
              <w:left w:val="single" w:sz="6" w:space="0" w:color="000000"/>
              <w:right w:val="single" w:sz="6" w:space="0" w:color="000000"/>
            </w:tcBorders>
            <w:vAlign w:val="center"/>
          </w:tcPr>
          <w:p>
            <w:pPr>
              <w:spacing w:line="300" w:lineRule="exact"/>
              <w:jc w:val="right"/>
              <w:rPr>
                <w:rFonts w:ascii="方正书宋_GBK" w:eastAsia="方正书宋_GBK"/>
                <w:b/>
              </w:rPr>
            </w:pPr>
          </w:p>
        </w:tc>
        <w:tc>
          <w:tcPr>
            <w:tcW w:w="850" w:type="dxa"/>
            <w:tcBorders>
              <w:top w:val="single" w:sz="6" w:space="0" w:color="000000"/>
              <w:left w:val="single" w:sz="6" w:space="0" w:color="000000"/>
              <w:right w:val="single" w:sz="6" w:space="0" w:color="000000"/>
            </w:tcBorders>
            <w:vAlign w:val="center"/>
          </w:tcPr>
          <w:p>
            <w:pPr>
              <w:spacing w:line="300" w:lineRule="exact"/>
              <w:jc w:val="right"/>
              <w:rPr>
                <w:rFonts w:ascii="方正书宋_GBK" w:eastAsia="方正书宋_GBK"/>
                <w:b/>
              </w:rPr>
            </w:pPr>
          </w:p>
        </w:tc>
        <w:tc>
          <w:tcPr>
            <w:tcW w:w="893" w:type="dxa"/>
            <w:tcBorders>
              <w:top w:val="single" w:sz="6" w:space="0" w:color="000000"/>
              <w:left w:val="single" w:sz="6" w:space="0" w:color="000000"/>
              <w:right w:val="single" w:sz="6" w:space="0" w:color="000000"/>
            </w:tcBorders>
            <w:vAlign w:val="center"/>
          </w:tcPr>
          <w:p>
            <w:pPr>
              <w:spacing w:line="300" w:lineRule="exact"/>
              <w:jc w:val="right"/>
              <w:rPr>
                <w:rFonts w:ascii="方正书宋_GBK" w:eastAsia="方正书宋_GBK"/>
                <w:b/>
              </w:rPr>
            </w:pPr>
          </w:p>
        </w:tc>
      </w:tr>
    </w:tbl>
    <w:p>
      <w:pPr>
        <w:ind w:firstLine="640"/>
        <w:rPr>
          <w:rFonts w:ascii="仿宋_GB2312" w:eastAsia="仿宋_GB2312" w:cs="Times New Roman" w:hAnsi="Times New Roman" w:hint="eastAsia"/>
          <w:color w:val="000000"/>
          <w:szCs w:val="21"/>
        </w:rPr>
      </w:pPr>
      <w:r>
        <w:rPr>
          <w:rFonts w:ascii="仿宋_GB2312" w:eastAsia="仿宋_GB2312" w:cs="Times New Roman" w:hAnsi="Times New Roman" w:hint="eastAsia"/>
          <w:color w:val="000000"/>
          <w:szCs w:val="21"/>
        </w:rPr>
        <w:t>注：无政府采购预算，空表列示</w:t>
      </w:r>
    </w:p>
    <w:p>
      <w:pPr>
        <w:autoSpaceDE w:val="0"/>
        <w:autoSpaceDN w:val="0"/>
        <w:adjustRightInd w:val="0"/>
        <w:ind w:firstLineChars="300" w:firstLine="960"/>
        <w:jc w:val="left"/>
        <w:rPr>
          <w:rFonts w:ascii="黑体" w:eastAsia="黑体" w:cs="Times New Roman" w:hAnsi="黑体"/>
          <w:sz w:val="32"/>
          <w:szCs w:val="32"/>
        </w:rPr>
      </w:pPr>
      <w:r>
        <w:rPr>
          <w:rFonts w:ascii="黑体" w:eastAsia="黑体" w:cs="Times New Roman" w:hAnsi="黑体" w:hint="eastAsia"/>
          <w:sz w:val="32"/>
          <w:szCs w:val="32"/>
        </w:rPr>
        <w:t>七、国有资产信息</w:t>
      </w:r>
    </w:p>
    <w:tbl>
      <w:tblPr>
        <w:jc w:val="left"/>
        <w:tblInd w:w="93" w:type="dxa"/>
        <w:tblW w:w="13482" w:type="dxa"/>
        <w:tblBorders>
          <w:top w:val="none" w:sz="0" w:space="0" w:color="auto"/>
          <w:left w:val="none" w:sz="0" w:space="0" w:color="auto"/>
          <w:bottom w:val="none" w:sz="0" w:space="0" w:color="auto"/>
          <w:right w:val="none" w:sz="0" w:space="0" w:color="auto"/>
        </w:tblBorders>
        <w:tblLayout w:type="fixed"/>
        <w:tblCellMar>
          <w:top w:w="0" w:type="dxa"/>
          <w:left w:w="108" w:type="dxa"/>
          <w:bottom w:w="0" w:type="dxa"/>
          <w:right w:w="108" w:type="dxa"/>
        </w:tblCellMar>
      </w:tblPr>
      <w:tblGrid>
        <w:gridCol w:w="5224"/>
        <w:gridCol w:w="3155"/>
        <w:gridCol w:w="5103"/>
      </w:tblGrid>
      <w:tr>
        <w:trPr>
          <w:trHeight w:val="705"/>
        </w:trPr>
        <w:tc>
          <w:tcPr>
            <w:tcW w:w="13482" w:type="dxa"/>
            <w:gridSpan w:val="3"/>
            <w:tcBorders>
              <w:top w:val="nil"/>
              <w:left w:val="nil"/>
              <w:bottom w:val="nil"/>
              <w:right w:val="nil"/>
            </w:tcBorders>
            <w:vAlign w:val="center"/>
          </w:tcPr>
          <w:p>
            <w:pPr>
              <w:ind w:firstLineChars="300" w:firstLine="960"/>
              <w:rPr>
                <w:rFonts w:ascii="仿宋" w:eastAsia="仿宋" w:cs="Times New Roman" w:hAnsi="仿宋"/>
                <w:sz w:val="32"/>
                <w:szCs w:val="32"/>
              </w:rPr>
            </w:pPr>
            <w:r>
              <w:rPr>
                <w:rFonts w:ascii="仿宋" w:eastAsia="仿宋" w:cs="Times New Roman" w:hAnsi="仿宋" w:hint="eastAsia"/>
                <w:sz w:val="32"/>
                <w:szCs w:val="32"/>
              </w:rPr>
              <w:t>上年末固定资产金额为1.58万元（详见下表）。本年度拟购置的固定资产为</w:t>
            </w:r>
            <w:r>
              <w:rPr>
                <w:rFonts w:ascii="仿宋" w:eastAsia="仿宋" w:cs="Times New Roman" w:hAnsi="仿宋"/>
                <w:sz w:val="32"/>
                <w:szCs w:val="32"/>
              </w:rPr>
              <w:t>0</w:t>
            </w:r>
            <w:r>
              <w:rPr>
                <w:rFonts w:ascii="仿宋" w:eastAsia="仿宋" w:cs="Times New Roman" w:hAnsi="仿宋" w:hint="eastAsia"/>
                <w:sz w:val="32"/>
                <w:szCs w:val="32"/>
              </w:rPr>
              <w:t>万元。</w:t>
            </w:r>
          </w:p>
          <w:p>
            <w:pPr>
              <w:widowControl/>
              <w:jc w:val="center"/>
              <w:rPr>
                <w:rFonts w:ascii="宋体" w:cs="宋体" w:hAnsi="宋体"/>
                <w:b/>
                <w:bCs/>
                <w:kern w:val="0"/>
                <w:sz w:val="32"/>
                <w:szCs w:val="32"/>
              </w:rPr>
            </w:pPr>
            <w:r>
              <w:rPr>
                <w:rFonts w:ascii="宋体" w:cs="宋体" w:hAnsi="宋体" w:hint="eastAsia"/>
                <w:b/>
                <w:bCs/>
                <w:kern w:val="0"/>
                <w:sz w:val="32"/>
                <w:szCs w:val="32"/>
              </w:rPr>
              <w:t>深泽县县直部门固定资产占用情况表</w:t>
            </w:r>
          </w:p>
        </w:tc>
      </w:tr>
      <w:tr>
        <w:trPr>
          <w:trHeight w:val="510"/>
        </w:trPr>
        <w:tc>
          <w:tcPr>
            <w:tcW w:w="8379" w:type="dxa"/>
            <w:gridSpan w:val="2"/>
            <w:tcBorders>
              <w:top w:val="nil"/>
              <w:left w:val="nil"/>
              <w:bottom w:val="nil"/>
              <w:right w:val="nil"/>
            </w:tcBorders>
            <w:vAlign w:val="center"/>
          </w:tcPr>
          <w:p>
            <w:pPr>
              <w:widowControl/>
              <w:jc w:val="left"/>
              <w:rPr>
                <w:rFonts w:ascii="Times New Roman" w:eastAsia="仿宋" w:cs="Times New Roman" w:hAnsi="Times New Roman"/>
                <w:kern w:val="0"/>
                <w:sz w:val="22"/>
              </w:rPr>
            </w:pPr>
            <w:r>
              <w:rPr>
                <w:rFonts w:ascii="Times New Roman" w:eastAsia="仿宋" w:cs="Times New Roman" w:hAnsi="Times New Roman"/>
                <w:kern w:val="0"/>
                <w:sz w:val="22"/>
              </w:rPr>
              <w:t>编制部门：</w:t>
            </w:r>
            <w:r>
              <w:rPr>
                <w:rFonts w:ascii="Times New Roman" w:eastAsia="仿宋" w:cs="Times New Roman" w:hAnsi="Times New Roman" w:hint="eastAsia"/>
                <w:kern w:val="0"/>
                <w:sz w:val="22"/>
              </w:rPr>
              <w:t>深泽县科学技术协会</w:t>
            </w:r>
          </w:p>
        </w:tc>
        <w:tc>
          <w:tcPr>
            <w:tcW w:w="5103" w:type="dxa"/>
            <w:tcBorders>
              <w:top w:val="nil"/>
              <w:left w:val="nil"/>
              <w:bottom w:val="nil"/>
              <w:right w:val="nil"/>
            </w:tcBorders>
            <w:vAlign w:val="center"/>
          </w:tcPr>
          <w:p>
            <w:pPr>
              <w:widowControl/>
              <w:ind w:firstLineChars="600" w:firstLine="1320"/>
              <w:jc w:val="left"/>
              <w:rPr>
                <w:rFonts w:ascii="Times New Roman" w:eastAsia="仿宋" w:cs="Times New Roman" w:hAnsi="Times New Roman"/>
                <w:kern w:val="0"/>
                <w:sz w:val="22"/>
              </w:rPr>
            </w:pPr>
            <w:r>
              <w:rPr>
                <w:rFonts w:ascii="Times New Roman" w:eastAsia="仿宋" w:cs="Times New Roman" w:hAnsi="Times New Roman"/>
                <w:kern w:val="0"/>
                <w:sz w:val="22"/>
              </w:rPr>
              <w:t>截止时间：201</w:t>
            </w:r>
            <w:r>
              <w:rPr>
                <w:rFonts w:ascii="Times New Roman" w:eastAsia="仿宋" w:cs="Times New Roman" w:hAnsi="Times New Roman" w:hint="eastAsia"/>
                <w:kern w:val="0"/>
                <w:sz w:val="22"/>
              </w:rPr>
              <w:t>9</w:t>
            </w:r>
            <w:r>
              <w:rPr>
                <w:rFonts w:ascii="Times New Roman" w:eastAsia="仿宋" w:cs="Times New Roman" w:hAnsi="Times New Roman"/>
                <w:kern w:val="0"/>
                <w:sz w:val="22"/>
              </w:rPr>
              <w:t>年12月31日</w:t>
            </w:r>
          </w:p>
        </w:tc>
      </w:tr>
      <w:tr>
        <w:trPr>
          <w:trHeight w:val="645"/>
        </w:trPr>
        <w:tc>
          <w:tcPr>
            <w:tcW w:w="5224" w:type="dxa"/>
            <w:tcBorders>
              <w:top w:val="single" w:sz="4" w:space="0" w:color="auto"/>
              <w:left w:val="single" w:sz="4" w:space="0" w:color="auto"/>
              <w:bottom w:val="single" w:sz="4" w:space="0" w:color="auto"/>
              <w:right w:val="single" w:sz="4" w:space="0" w:color="auto"/>
            </w:tcBorders>
            <w:vAlign w:val="center"/>
          </w:tcPr>
          <w:p>
            <w:pPr>
              <w:widowControl/>
              <w:jc w:val="center"/>
              <w:rPr>
                <w:rFonts w:ascii="宋体" w:cs="宋体" w:hAnsi="宋体"/>
                <w:b/>
                <w:bCs/>
                <w:kern w:val="0"/>
                <w:sz w:val="22"/>
              </w:rPr>
            </w:pPr>
            <w:r>
              <w:rPr>
                <w:rFonts w:ascii="宋体" w:cs="宋体" w:hAnsi="宋体" w:hint="eastAsia"/>
                <w:b/>
                <w:bCs/>
                <w:kern w:val="0"/>
                <w:sz w:val="22"/>
              </w:rPr>
              <w:t>项目</w:t>
            </w:r>
          </w:p>
        </w:tc>
        <w:tc>
          <w:tcPr>
            <w:tcW w:w="3155" w:type="dxa"/>
            <w:tcBorders>
              <w:top w:val="single" w:sz="4" w:space="0" w:color="auto"/>
              <w:left w:val="nil"/>
              <w:bottom w:val="single" w:sz="4" w:space="0" w:color="auto"/>
              <w:right w:val="single" w:sz="4" w:space="0" w:color="auto"/>
            </w:tcBorders>
            <w:vAlign w:val="center"/>
          </w:tcPr>
          <w:p>
            <w:pPr>
              <w:widowControl/>
              <w:jc w:val="center"/>
              <w:rPr>
                <w:rFonts w:ascii="宋体" w:cs="宋体" w:hAnsi="宋体"/>
                <w:b/>
                <w:bCs/>
                <w:kern w:val="0"/>
                <w:sz w:val="22"/>
              </w:rPr>
            </w:pPr>
            <w:r>
              <w:rPr>
                <w:rFonts w:ascii="宋体" w:cs="宋体" w:hAnsi="宋体" w:hint="eastAsia"/>
                <w:b/>
                <w:bCs/>
                <w:kern w:val="0"/>
                <w:sz w:val="22"/>
              </w:rPr>
              <w:t>数量</w:t>
            </w:r>
          </w:p>
        </w:tc>
        <w:tc>
          <w:tcPr>
            <w:tcW w:w="5103" w:type="dxa"/>
            <w:tcBorders>
              <w:top w:val="single" w:sz="4" w:space="0" w:color="auto"/>
              <w:left w:val="nil"/>
              <w:bottom w:val="single" w:sz="4" w:space="0" w:color="auto"/>
              <w:right w:val="single" w:sz="4" w:space="0" w:color="auto"/>
            </w:tcBorders>
            <w:vAlign w:val="center"/>
          </w:tcPr>
          <w:p>
            <w:pPr>
              <w:widowControl/>
              <w:jc w:val="center"/>
              <w:rPr>
                <w:rFonts w:ascii="宋体" w:cs="宋体" w:hAnsi="宋体"/>
                <w:b/>
                <w:bCs/>
                <w:kern w:val="0"/>
                <w:sz w:val="22"/>
              </w:rPr>
            </w:pPr>
            <w:r>
              <w:rPr>
                <w:rFonts w:ascii="宋体" w:cs="宋体" w:hAnsi="宋体" w:hint="eastAsia"/>
                <w:b/>
                <w:bCs/>
                <w:kern w:val="0"/>
                <w:sz w:val="22"/>
              </w:rPr>
              <w:t>价值（金额单位：万元）</w:t>
            </w:r>
          </w:p>
        </w:tc>
      </w:tr>
      <w:tr>
        <w:trPr>
          <w:trHeight w:val="645"/>
        </w:trPr>
        <w:tc>
          <w:tcPr>
            <w:tcW w:w="5224" w:type="dxa"/>
            <w:tcBorders>
              <w:top w:val="nil"/>
              <w:left w:val="single" w:sz="4" w:space="0" w:color="auto"/>
              <w:bottom w:val="single" w:sz="4" w:space="0" w:color="auto"/>
              <w:right w:val="single" w:sz="4" w:space="0" w:color="auto"/>
            </w:tcBorders>
            <w:vAlign w:val="center"/>
          </w:tcPr>
          <w:p>
            <w:pPr>
              <w:widowControl/>
              <w:jc w:val="center"/>
              <w:rPr>
                <w:rFonts w:ascii="Times New Roman" w:eastAsia="仿宋" w:cs="Times New Roman" w:hAnsi="Times New Roman"/>
                <w:kern w:val="0"/>
                <w:sz w:val="22"/>
              </w:rPr>
            </w:pPr>
            <w:r>
              <w:rPr>
                <w:rFonts w:ascii="Times New Roman" w:eastAsia="仿宋" w:cs="Times New Roman" w:hAnsi="Times New Roman"/>
                <w:kern w:val="0"/>
                <w:sz w:val="22"/>
              </w:rPr>
              <w:t>资产总额</w:t>
            </w:r>
          </w:p>
        </w:tc>
        <w:tc>
          <w:tcPr>
            <w:tcW w:w="3155" w:type="dxa"/>
            <w:tcBorders>
              <w:top w:val="nil"/>
              <w:left w:val="nil"/>
              <w:bottom w:val="single" w:sz="4" w:space="0" w:color="auto"/>
              <w:right w:val="single" w:sz="4" w:space="0" w:color="auto"/>
            </w:tcBorders>
            <w:vAlign w:val="center"/>
          </w:tcPr>
          <w:p>
            <w:pPr>
              <w:widowControl/>
              <w:jc w:val="center"/>
              <w:rPr>
                <w:rFonts w:ascii="Times New Roman" w:eastAsia="仿宋" w:cs="Times New Roman" w:hAnsi="Times New Roman"/>
                <w:kern w:val="0"/>
                <w:sz w:val="22"/>
              </w:rPr>
            </w:pPr>
            <w:r>
              <w:rPr>
                <w:rFonts w:ascii="Times New Roman" w:eastAsia="仿宋" w:cs="Times New Roman" w:hAnsi="Times New Roman"/>
                <w:kern w:val="0"/>
                <w:sz w:val="22"/>
              </w:rPr>
              <w:t>——</w:t>
            </w:r>
          </w:p>
        </w:tc>
        <w:tc>
          <w:tcPr>
            <w:tcW w:w="5103" w:type="dxa"/>
            <w:tcBorders>
              <w:top w:val="nil"/>
              <w:left w:val="nil"/>
              <w:bottom w:val="single" w:sz="4" w:space="0" w:color="auto"/>
              <w:right w:val="single" w:sz="4" w:space="0" w:color="auto"/>
            </w:tcBorders>
            <w:vAlign w:val="center"/>
          </w:tcPr>
          <w:p>
            <w:pPr>
              <w:widowControl/>
              <w:jc w:val="center"/>
              <w:rPr>
                <w:rFonts w:ascii="Times New Roman" w:eastAsia="仿宋" w:cs="Times New Roman" w:hAnsi="Times New Roman"/>
                <w:color w:val="FF0000"/>
                <w:kern w:val="0"/>
                <w:sz w:val="22"/>
              </w:rPr>
            </w:pPr>
            <w:r>
              <w:rPr>
                <w:rFonts w:ascii="Times New Roman" w:eastAsia="仿宋" w:cs="Times New Roman" w:hAnsi="Times New Roman" w:hint="eastAsia"/>
                <w:color w:val="000000"/>
                <w:kern w:val="0"/>
                <w:sz w:val="22"/>
              </w:rPr>
              <w:t>1.58</w:t>
            </w:r>
          </w:p>
        </w:tc>
      </w:tr>
      <w:tr>
        <w:trPr>
          <w:trHeight w:val="645"/>
        </w:trPr>
        <w:tc>
          <w:tcPr>
            <w:tcW w:w="5224" w:type="dxa"/>
            <w:tcBorders>
              <w:top w:val="nil"/>
              <w:left w:val="single" w:sz="4" w:space="0" w:color="auto"/>
              <w:bottom w:val="single" w:sz="4" w:space="0" w:color="auto"/>
              <w:right w:val="single" w:sz="4" w:space="0" w:color="auto"/>
            </w:tcBorders>
            <w:vAlign w:val="center"/>
          </w:tcPr>
          <w:p>
            <w:pPr>
              <w:widowControl/>
              <w:jc w:val="left"/>
              <w:rPr>
                <w:rFonts w:ascii="Times New Roman" w:eastAsia="仿宋" w:cs="Times New Roman" w:hAnsi="Times New Roman"/>
                <w:kern w:val="0"/>
                <w:sz w:val="22"/>
              </w:rPr>
            </w:pPr>
            <w:r>
              <w:rPr>
                <w:rFonts w:ascii="Times New Roman" w:eastAsia="仿宋" w:cs="Times New Roman" w:hAnsi="Times New Roman"/>
                <w:kern w:val="0"/>
                <w:sz w:val="22"/>
              </w:rPr>
              <w:t>1、房屋（平方米）</w:t>
            </w:r>
          </w:p>
        </w:tc>
        <w:tc>
          <w:tcPr>
            <w:tcW w:w="3155" w:type="dxa"/>
            <w:tcBorders>
              <w:top w:val="nil"/>
              <w:left w:val="nil"/>
              <w:bottom w:val="single" w:sz="4" w:space="0" w:color="auto"/>
              <w:right w:val="single" w:sz="4" w:space="0" w:color="auto"/>
            </w:tcBorders>
            <w:vAlign w:val="center"/>
          </w:tcPr>
          <w:p>
            <w:pPr>
              <w:widowControl/>
              <w:jc w:val="center"/>
              <w:rPr>
                <w:rFonts w:ascii="Times New Roman" w:eastAsia="仿宋" w:cs="Times New Roman" w:hAnsi="Times New Roman"/>
                <w:kern w:val="0"/>
                <w:sz w:val="22"/>
              </w:rPr>
            </w:pPr>
          </w:p>
        </w:tc>
        <w:tc>
          <w:tcPr>
            <w:tcW w:w="5103" w:type="dxa"/>
            <w:tcBorders>
              <w:top w:val="nil"/>
              <w:left w:val="nil"/>
              <w:bottom w:val="single" w:sz="4" w:space="0" w:color="auto"/>
              <w:right w:val="single" w:sz="4" w:space="0" w:color="auto"/>
            </w:tcBorders>
            <w:vAlign w:val="center"/>
          </w:tcPr>
          <w:p>
            <w:pPr>
              <w:widowControl/>
              <w:jc w:val="center"/>
              <w:rPr>
                <w:rFonts w:ascii="Times New Roman" w:eastAsia="仿宋" w:cs="Times New Roman" w:hAnsi="Times New Roman"/>
                <w:kern w:val="0"/>
                <w:sz w:val="22"/>
              </w:rPr>
            </w:pPr>
          </w:p>
        </w:tc>
      </w:tr>
      <w:tr>
        <w:trPr>
          <w:trHeight w:val="645"/>
        </w:trPr>
        <w:tc>
          <w:tcPr>
            <w:tcW w:w="5224" w:type="dxa"/>
            <w:tcBorders>
              <w:top w:val="nil"/>
              <w:left w:val="single" w:sz="4" w:space="0" w:color="auto"/>
              <w:bottom w:val="single" w:sz="4" w:space="0" w:color="auto"/>
              <w:right w:val="single" w:sz="4" w:space="0" w:color="auto"/>
            </w:tcBorders>
            <w:vAlign w:val="center"/>
          </w:tcPr>
          <w:p>
            <w:pPr>
              <w:widowControl/>
              <w:jc w:val="left"/>
              <w:rPr>
                <w:rFonts w:ascii="Times New Roman" w:eastAsia="仿宋" w:cs="Times New Roman" w:hAnsi="Times New Roman"/>
                <w:kern w:val="0"/>
                <w:sz w:val="22"/>
              </w:rPr>
            </w:pPr>
            <w:r>
              <w:rPr>
                <w:rFonts w:ascii="Times New Roman" w:eastAsia="仿宋" w:cs="Times New Roman" w:hAnsi="Times New Roman"/>
                <w:kern w:val="0"/>
                <w:sz w:val="22"/>
              </w:rPr>
              <w:t>其中：办公用房（平方米）</w:t>
            </w:r>
          </w:p>
        </w:tc>
        <w:tc>
          <w:tcPr>
            <w:tcW w:w="3155" w:type="dxa"/>
            <w:tcBorders>
              <w:top w:val="nil"/>
              <w:left w:val="nil"/>
              <w:bottom w:val="single" w:sz="4" w:space="0" w:color="auto"/>
              <w:right w:val="single" w:sz="4" w:space="0" w:color="auto"/>
            </w:tcBorders>
            <w:vAlign w:val="center"/>
          </w:tcPr>
          <w:p>
            <w:pPr>
              <w:widowControl/>
              <w:jc w:val="center"/>
              <w:rPr>
                <w:rFonts w:ascii="Times New Roman" w:eastAsia="仿宋" w:cs="Times New Roman" w:hAnsi="Times New Roman"/>
                <w:kern w:val="0"/>
                <w:sz w:val="22"/>
              </w:rPr>
            </w:pPr>
          </w:p>
        </w:tc>
        <w:tc>
          <w:tcPr>
            <w:tcW w:w="5103" w:type="dxa"/>
            <w:tcBorders>
              <w:top w:val="nil"/>
              <w:left w:val="nil"/>
              <w:bottom w:val="single" w:sz="4" w:space="0" w:color="auto"/>
              <w:right w:val="single" w:sz="4" w:space="0" w:color="auto"/>
            </w:tcBorders>
            <w:vAlign w:val="center"/>
          </w:tcPr>
          <w:p>
            <w:pPr>
              <w:widowControl/>
              <w:jc w:val="center"/>
              <w:rPr>
                <w:rFonts w:ascii="Times New Roman" w:eastAsia="仿宋" w:cs="Times New Roman" w:hAnsi="Times New Roman"/>
                <w:kern w:val="0"/>
                <w:sz w:val="22"/>
              </w:rPr>
            </w:pPr>
          </w:p>
        </w:tc>
      </w:tr>
      <w:tr>
        <w:trPr>
          <w:trHeight w:val="645"/>
        </w:trPr>
        <w:tc>
          <w:tcPr>
            <w:tcW w:w="5224" w:type="dxa"/>
            <w:tcBorders>
              <w:top w:val="nil"/>
              <w:left w:val="single" w:sz="4" w:space="0" w:color="auto"/>
              <w:bottom w:val="single" w:sz="4" w:space="0" w:color="auto"/>
              <w:right w:val="single" w:sz="4" w:space="0" w:color="auto"/>
            </w:tcBorders>
            <w:vAlign w:val="center"/>
          </w:tcPr>
          <w:p>
            <w:pPr>
              <w:widowControl/>
              <w:jc w:val="left"/>
              <w:rPr>
                <w:rFonts w:ascii="Times New Roman" w:eastAsia="仿宋" w:cs="Times New Roman" w:hAnsi="Times New Roman"/>
                <w:kern w:val="0"/>
                <w:sz w:val="22"/>
              </w:rPr>
            </w:pPr>
            <w:r>
              <w:rPr>
                <w:rFonts w:ascii="Times New Roman" w:eastAsia="仿宋" w:cs="Times New Roman" w:hAnsi="Times New Roman"/>
                <w:kern w:val="0"/>
                <w:sz w:val="22"/>
              </w:rPr>
              <w:t>2、车辆（台、辆）</w:t>
            </w:r>
          </w:p>
        </w:tc>
        <w:tc>
          <w:tcPr>
            <w:tcW w:w="3155" w:type="dxa"/>
            <w:tcBorders>
              <w:top w:val="nil"/>
              <w:left w:val="nil"/>
              <w:bottom w:val="single" w:sz="4" w:space="0" w:color="auto"/>
              <w:right w:val="single" w:sz="4" w:space="0" w:color="auto"/>
            </w:tcBorders>
            <w:vAlign w:val="center"/>
          </w:tcPr>
          <w:p>
            <w:pPr>
              <w:widowControl/>
              <w:rPr>
                <w:rFonts w:ascii="Times New Roman" w:eastAsia="仿宋" w:cs="Times New Roman" w:hAnsi="Times New Roman"/>
                <w:kern w:val="0"/>
                <w:sz w:val="22"/>
              </w:rPr>
            </w:pPr>
          </w:p>
        </w:tc>
        <w:tc>
          <w:tcPr>
            <w:tcW w:w="5103" w:type="dxa"/>
            <w:tcBorders>
              <w:top w:val="nil"/>
              <w:left w:val="nil"/>
              <w:bottom w:val="single" w:sz="4" w:space="0" w:color="auto"/>
              <w:right w:val="single" w:sz="4" w:space="0" w:color="auto"/>
            </w:tcBorders>
            <w:vAlign w:val="center"/>
          </w:tcPr>
          <w:p>
            <w:pPr>
              <w:widowControl/>
              <w:jc w:val="center"/>
              <w:rPr>
                <w:rFonts w:ascii="Times New Roman" w:eastAsia="仿宋" w:cs="Times New Roman" w:hAnsi="Times New Roman"/>
                <w:kern w:val="0"/>
                <w:sz w:val="22"/>
              </w:rPr>
            </w:pPr>
          </w:p>
        </w:tc>
      </w:tr>
      <w:tr>
        <w:trPr>
          <w:trHeight w:val="645"/>
        </w:trPr>
        <w:tc>
          <w:tcPr>
            <w:tcW w:w="5224" w:type="dxa"/>
            <w:tcBorders>
              <w:top w:val="nil"/>
              <w:left w:val="single" w:sz="4" w:space="0" w:color="auto"/>
              <w:bottom w:val="single" w:sz="4" w:space="0" w:color="auto"/>
              <w:right w:val="single" w:sz="4" w:space="0" w:color="auto"/>
            </w:tcBorders>
            <w:vAlign w:val="center"/>
          </w:tcPr>
          <w:p>
            <w:pPr>
              <w:widowControl/>
              <w:jc w:val="left"/>
              <w:rPr>
                <w:rFonts w:ascii="Times New Roman" w:eastAsia="仿宋" w:cs="Times New Roman" w:hAnsi="Times New Roman"/>
                <w:kern w:val="0"/>
                <w:sz w:val="22"/>
              </w:rPr>
            </w:pPr>
            <w:r>
              <w:rPr>
                <w:rFonts w:ascii="Times New Roman" w:eastAsia="仿宋" w:cs="Times New Roman" w:hAnsi="Times New Roman"/>
                <w:kern w:val="0"/>
                <w:sz w:val="22"/>
              </w:rPr>
              <w:t>3、单价在20万元以上设备</w:t>
            </w:r>
          </w:p>
        </w:tc>
        <w:tc>
          <w:tcPr>
            <w:tcW w:w="3155" w:type="dxa"/>
            <w:tcBorders>
              <w:top w:val="nil"/>
              <w:left w:val="nil"/>
              <w:bottom w:val="single" w:sz="4" w:space="0" w:color="auto"/>
              <w:right w:val="single" w:sz="4" w:space="0" w:color="auto"/>
            </w:tcBorders>
            <w:vAlign w:val="center"/>
          </w:tcPr>
          <w:p>
            <w:pPr>
              <w:widowControl/>
              <w:jc w:val="center"/>
              <w:rPr>
                <w:rFonts w:ascii="Times New Roman" w:eastAsia="仿宋" w:cs="Times New Roman" w:hAnsi="Times New Roman"/>
                <w:kern w:val="0"/>
                <w:sz w:val="22"/>
              </w:rPr>
            </w:pPr>
            <w:r>
              <w:rPr>
                <w:rFonts w:ascii="Times New Roman" w:eastAsia="仿宋" w:cs="Times New Roman" w:hAnsi="Times New Roman"/>
                <w:kern w:val="0"/>
                <w:sz w:val="22"/>
              </w:rPr>
              <w:t>——</w:t>
            </w:r>
          </w:p>
        </w:tc>
        <w:tc>
          <w:tcPr>
            <w:tcW w:w="5103" w:type="dxa"/>
            <w:tcBorders>
              <w:top w:val="nil"/>
              <w:left w:val="nil"/>
              <w:bottom w:val="single" w:sz="4" w:space="0" w:color="auto"/>
              <w:right w:val="single" w:sz="4" w:space="0" w:color="auto"/>
            </w:tcBorders>
            <w:vAlign w:val="center"/>
          </w:tcPr>
          <w:p>
            <w:pPr>
              <w:widowControl/>
              <w:jc w:val="center"/>
              <w:rPr>
                <w:rFonts w:ascii="Times New Roman" w:eastAsia="仿宋" w:cs="Times New Roman" w:hAnsi="Times New Roman"/>
                <w:kern w:val="0"/>
                <w:sz w:val="22"/>
              </w:rPr>
            </w:pPr>
          </w:p>
        </w:tc>
      </w:tr>
      <w:tr>
        <w:trPr>
          <w:trHeight w:val="645"/>
        </w:trPr>
        <w:tc>
          <w:tcPr>
            <w:tcW w:w="5224" w:type="dxa"/>
            <w:tcBorders>
              <w:top w:val="nil"/>
              <w:left w:val="single" w:sz="4" w:space="0" w:color="auto"/>
              <w:bottom w:val="single" w:sz="4" w:space="0" w:color="auto"/>
              <w:right w:val="single" w:sz="4" w:space="0" w:color="auto"/>
            </w:tcBorders>
            <w:vAlign w:val="center"/>
          </w:tcPr>
          <w:p>
            <w:pPr>
              <w:widowControl/>
              <w:jc w:val="left"/>
              <w:rPr>
                <w:rFonts w:ascii="Times New Roman" w:eastAsia="仿宋" w:cs="Times New Roman" w:hAnsi="Times New Roman"/>
                <w:kern w:val="0"/>
                <w:sz w:val="22"/>
              </w:rPr>
            </w:pPr>
            <w:r>
              <w:rPr>
                <w:rFonts w:ascii="Times New Roman" w:eastAsia="仿宋" w:cs="Times New Roman" w:hAnsi="Times New Roman"/>
                <w:kern w:val="0"/>
                <w:sz w:val="22"/>
              </w:rPr>
              <w:t>4、其他固定资产</w:t>
            </w:r>
          </w:p>
        </w:tc>
        <w:tc>
          <w:tcPr>
            <w:tcW w:w="3155" w:type="dxa"/>
            <w:tcBorders>
              <w:top w:val="nil"/>
              <w:left w:val="nil"/>
              <w:bottom w:val="single" w:sz="4" w:space="0" w:color="auto"/>
              <w:right w:val="single" w:sz="4" w:space="0" w:color="auto"/>
            </w:tcBorders>
            <w:vAlign w:val="center"/>
          </w:tcPr>
          <w:p>
            <w:pPr>
              <w:widowControl/>
              <w:jc w:val="center"/>
              <w:rPr>
                <w:rFonts w:ascii="Times New Roman" w:eastAsia="仿宋" w:cs="Times New Roman" w:hAnsi="Times New Roman"/>
                <w:kern w:val="0"/>
                <w:sz w:val="22"/>
              </w:rPr>
            </w:pPr>
            <w:r>
              <w:rPr>
                <w:rFonts w:ascii="Times New Roman" w:eastAsia="仿宋" w:cs="Times New Roman" w:hAnsi="Times New Roman"/>
                <w:kern w:val="0"/>
                <w:sz w:val="22"/>
              </w:rPr>
              <w:t>——</w:t>
            </w:r>
          </w:p>
        </w:tc>
        <w:tc>
          <w:tcPr>
            <w:tcW w:w="5103" w:type="dxa"/>
            <w:tcBorders>
              <w:top w:val="nil"/>
              <w:left w:val="nil"/>
              <w:bottom w:val="single" w:sz="4" w:space="0" w:color="auto"/>
              <w:right w:val="single" w:sz="4" w:space="0" w:color="auto"/>
            </w:tcBorders>
            <w:vAlign w:val="center"/>
          </w:tcPr>
          <w:p>
            <w:pPr>
              <w:widowControl/>
              <w:jc w:val="center"/>
              <w:rPr>
                <w:rFonts w:ascii="Times New Roman" w:eastAsia="仿宋" w:cs="Times New Roman" w:hAnsi="Times New Roman"/>
                <w:kern w:val="0"/>
                <w:sz w:val="22"/>
              </w:rPr>
            </w:pPr>
            <w:r>
              <w:rPr>
                <w:rFonts w:ascii="Times New Roman" w:eastAsia="仿宋" w:cs="Times New Roman" w:hAnsi="Times New Roman" w:hint="eastAsia"/>
                <w:kern w:val="0"/>
                <w:sz w:val="22"/>
              </w:rPr>
              <w:t>1.58</w:t>
            </w:r>
          </w:p>
        </w:tc>
      </w:tr>
    </w:tbl>
    <w:p>
      <w:pPr>
        <w:autoSpaceDE w:val="0"/>
        <w:autoSpaceDN w:val="0"/>
        <w:adjustRightInd w:val="0"/>
        <w:ind w:firstLineChars="200" w:firstLine="640"/>
        <w:jc w:val="left"/>
        <w:rPr>
          <w:rFonts w:ascii="黑体" w:eastAsia="黑体" w:cs="Times New Roman" w:hAnsi="黑体"/>
          <w:sz w:val="32"/>
          <w:szCs w:val="32"/>
        </w:rPr>
      </w:pPr>
      <w:r>
        <w:rPr>
          <w:rFonts w:ascii="黑体" w:eastAsia="黑体" w:cs="Times New Roman" w:hAnsi="黑体" w:hint="eastAsia"/>
          <w:sz w:val="32"/>
          <w:szCs w:val="32"/>
        </w:rPr>
        <w:t>八、名词解释</w:t>
      </w:r>
    </w:p>
    <w:p>
      <w:pPr>
        <w:ind w:firstLineChars="200" w:firstLine="640"/>
        <w:rPr>
          <w:rFonts w:ascii="Times New Roman" w:eastAsia="仿宋" w:cs="Times New Roman" w:hAnsi="Times New Roman"/>
          <w:sz w:val="32"/>
          <w:szCs w:val="32"/>
        </w:rPr>
      </w:pPr>
      <w:r>
        <w:rPr>
          <w:rFonts w:ascii="Times New Roman" w:eastAsia="仿宋" w:cs="Times New Roman" w:hAnsi="Times New Roman" w:hint="eastAsia"/>
          <w:sz w:val="32"/>
          <w:szCs w:val="32"/>
        </w:rPr>
        <w:t>1、一般公共预算拨款收入：指县级财政当年拨付的资金。</w:t>
      </w:r>
    </w:p>
    <w:p>
      <w:pPr>
        <w:ind w:firstLineChars="200" w:firstLine="640"/>
        <w:rPr>
          <w:rFonts w:ascii="Times New Roman" w:eastAsia="仿宋" w:cs="Times New Roman" w:hAnsi="Times New Roman"/>
          <w:sz w:val="32"/>
          <w:szCs w:val="32"/>
        </w:rPr>
      </w:pPr>
      <w:r>
        <w:rPr>
          <w:rFonts w:ascii="Times New Roman" w:eastAsia="仿宋" w:cs="Times New Roman" w:hAnsi="Times New Roman" w:hint="eastAsia"/>
          <w:sz w:val="32"/>
          <w:szCs w:val="32"/>
        </w:rPr>
        <w:t>2、事业收入：指事业单位开展专业业务活动及辅助活动所取得的收入。</w:t>
      </w:r>
    </w:p>
    <w:p>
      <w:pPr>
        <w:ind w:firstLineChars="200" w:firstLine="640"/>
        <w:rPr>
          <w:rFonts w:ascii="Times New Roman" w:eastAsia="仿宋" w:cs="Times New Roman" w:hAnsi="Times New Roman"/>
          <w:sz w:val="32"/>
          <w:szCs w:val="32"/>
        </w:rPr>
      </w:pPr>
      <w:r>
        <w:rPr>
          <w:rFonts w:ascii="Times New Roman" w:eastAsia="仿宋" w:cs="Times New Roman" w:hAnsi="Times New Roman" w:hint="eastAsia"/>
          <w:sz w:val="32"/>
          <w:szCs w:val="32"/>
        </w:rPr>
        <w:t>3、其他收入：指除“一般公共预算拨款收入”、“事业收入”等以外的收入。主要是按规定动用的租房收入、存款利息收入等。</w:t>
      </w:r>
    </w:p>
    <w:p>
      <w:pPr>
        <w:ind w:firstLineChars="200" w:firstLine="640"/>
        <w:rPr>
          <w:rFonts w:ascii="Times New Roman" w:eastAsia="仿宋" w:cs="Times New Roman" w:hAnsi="Times New Roman"/>
          <w:sz w:val="32"/>
          <w:szCs w:val="32"/>
        </w:rPr>
      </w:pPr>
      <w:r>
        <w:rPr>
          <w:rFonts w:ascii="Times New Roman" w:eastAsia="仿宋" w:cs="Times New Roman" w:hAnsi="Times New Roman" w:hint="eastAsia"/>
          <w:sz w:val="32"/>
          <w:szCs w:val="32"/>
        </w:rPr>
        <w:t>4、基本支出：指为保障机构正常运转、完成日常工作任务而发生的人员支出和公用支出。</w:t>
      </w:r>
    </w:p>
    <w:p>
      <w:pPr>
        <w:ind w:firstLineChars="200" w:firstLine="640"/>
        <w:rPr>
          <w:rFonts w:ascii="Times New Roman" w:eastAsia="仿宋" w:cs="Times New Roman" w:hAnsi="Times New Roman"/>
          <w:sz w:val="32"/>
          <w:szCs w:val="32"/>
        </w:rPr>
      </w:pPr>
      <w:r>
        <w:rPr>
          <w:rFonts w:ascii="Times New Roman" w:eastAsia="仿宋" w:cs="Times New Roman" w:hAnsi="Times New Roman" w:hint="eastAsia"/>
          <w:sz w:val="32"/>
          <w:szCs w:val="32"/>
        </w:rPr>
        <w:t>5、项目支出：指在基本支出之外为完成特定行政任务和事业发展目标所发生的支出。</w:t>
      </w:r>
    </w:p>
    <w:p>
      <w:pPr>
        <w:ind w:firstLineChars="200" w:firstLine="640"/>
        <w:rPr>
          <w:rFonts w:ascii="Times New Roman" w:eastAsia="仿宋" w:cs="Times New Roman" w:hAnsi="Times New Roman"/>
          <w:sz w:val="32"/>
          <w:szCs w:val="32"/>
        </w:rPr>
      </w:pPr>
      <w:r>
        <w:rPr>
          <w:rFonts w:ascii="Times New Roman" w:eastAsia="仿宋" w:cs="Times New Roman" w:hAnsi="Times New Roman" w:hint="eastAsia"/>
          <w:sz w:val="32"/>
          <w:szCs w:val="32"/>
        </w:rPr>
        <w:t>6、上缴上级支出：指下级单位上缴上级的支出。</w:t>
      </w:r>
    </w:p>
    <w:p>
      <w:pPr>
        <w:ind w:firstLineChars="200" w:firstLine="640"/>
        <w:rPr>
          <w:rFonts w:ascii="Times New Roman" w:eastAsia="仿宋" w:cs="Times New Roman" w:hAnsi="Times New Roman"/>
          <w:sz w:val="32"/>
          <w:szCs w:val="32"/>
        </w:rPr>
      </w:pPr>
      <w:r>
        <w:rPr>
          <w:rFonts w:ascii="Times New Roman" w:eastAsia="仿宋" w:cs="Times New Roman" w:hAnsi="Times New Roman" w:hint="eastAsia"/>
          <w:sz w:val="32"/>
          <w:szCs w:val="32"/>
        </w:rPr>
        <w:t>7、“三公”经费：纳入县级财政预算管理的“三公”经费，是指县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Chars="200" w:firstLine="640"/>
        <w:rPr>
          <w:rFonts w:ascii="Times New Roman" w:eastAsia="仿宋" w:cs="Times New Roman" w:hAnsi="Times New Roman"/>
          <w:sz w:val="32"/>
          <w:szCs w:val="32"/>
        </w:rPr>
      </w:pPr>
      <w:r>
        <w:rPr>
          <w:rFonts w:ascii="Times New Roman" w:eastAsia="仿宋" w:cs="Times New Roman" w:hAnsi="Times New Roman" w:hint="eastAsia"/>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Chars="200" w:firstLine="640"/>
        <w:rPr>
          <w:rFonts w:ascii="Times New Roman" w:eastAsia="仿宋" w:cs="Times New Roman" w:hAnsi="Times New Roman"/>
          <w:sz w:val="32"/>
          <w:szCs w:val="32"/>
        </w:rPr>
      </w:pPr>
      <w:r>
        <w:rPr>
          <w:rFonts w:ascii="Times New Roman" w:eastAsia="仿宋" w:cs="Times New Roman" w:hAnsi="Times New Roman" w:hint="eastAsia"/>
          <w:sz w:val="32"/>
          <w:szCs w:val="32"/>
        </w:rPr>
        <w:t>9、上年结转：指以前年度尚未完成、结转到本年仍按原规定用途继续使用的资金。</w:t>
      </w:r>
    </w:p>
    <w:p>
      <w:pPr>
        <w:ind w:firstLineChars="200" w:firstLine="640"/>
        <w:rPr>
          <w:rFonts w:ascii="Times New Roman" w:eastAsia="仿宋" w:cs="Times New Roman" w:hAnsi="Times New Roman"/>
          <w:sz w:val="32"/>
          <w:szCs w:val="32"/>
        </w:rPr>
      </w:pPr>
      <w:r>
        <w:rPr>
          <w:rFonts w:ascii="Times New Roman" w:eastAsia="仿宋" w:cs="Times New Roman" w:hAnsi="Times New Roman" w:hint="eastAsia"/>
          <w:sz w:val="32"/>
          <w:szCs w:val="32"/>
        </w:rPr>
        <w:t>10、事业单位经营支出：指事业单位在专业业务活动及其辅助活动之外开展非独立核算经营活动发生的支出。</w:t>
      </w:r>
    </w:p>
    <w:p>
      <w:pPr>
        <w:ind w:firstLineChars="200" w:firstLine="640"/>
        <w:rPr>
          <w:rFonts w:ascii="宋体-方正超大字符集" w:eastAsia="宋体-方正超大字符集" w:cs="宋体-方正超大字符集" w:hAnsi="宋体-方正超大字符集"/>
          <w:b/>
          <w:bCs/>
          <w:sz w:val="32"/>
          <w:szCs w:val="32"/>
        </w:rPr>
      </w:pPr>
      <w:r>
        <w:rPr>
          <w:rFonts w:ascii="宋体-方正超大字符集" w:eastAsia="宋体-方正超大字符集" w:cs="宋体-方正超大字符集" w:hAnsi="宋体-方正超大字符集" w:hint="eastAsia"/>
          <w:b/>
          <w:bCs/>
          <w:sz w:val="32"/>
          <w:szCs w:val="32"/>
        </w:rPr>
        <w:t>九、其他需要说明的事项</w:t>
      </w:r>
    </w:p>
    <w:p>
      <w:pPr>
        <w:ind w:firstLineChars="200" w:firstLine="640"/>
        <w:rPr>
          <w:rFonts w:ascii="Times New Roman" w:eastAsia="仿宋" w:cs="Times New Roman" w:hAnsi="Times New Roman"/>
          <w:sz w:val="32"/>
          <w:szCs w:val="32"/>
        </w:rPr>
      </w:pPr>
      <w:r>
        <w:rPr>
          <w:rFonts w:ascii="Times New Roman" w:eastAsia="仿宋" w:cs="Times New Roman" w:hAnsi="Times New Roman" w:hint="eastAsia"/>
          <w:sz w:val="32"/>
          <w:szCs w:val="32"/>
        </w:rPr>
        <w:t>我部门无其他需要说明的事项。</w:t>
      </w:r>
    </w:p>
    <w:sectPr>
      <w:footerReference w:type="default" r:id="rId2"/>
      <w:pgSz w:w="16838" w:h="11906" w:orient="landscape"/>
      <w:pgMar w:top="1797" w:right="1440" w:bottom="1797" w:left="1440" w:header="851" w:footer="992" w:gutter="0"/>
      <w:docGrid w:type="lines" w:linePitch="312" w:charSpace="0"/>
    </w:sectPr>
  </w:body>
</w:document>
</file>

<file path=word/fontTable.xml><?xml version="1.0" encoding="utf-8"?>
<w:fonts xmlns:w="http://schemas.openxmlformats.org/wordprocessingml/2006/main" xmlns:r="http://schemas.openxmlformats.org/officeDocument/2006/relationships">
  <w:font w:name="方正小标宋_GBK">
    <w:altName w:val="微软雅黑"/>
    <w:panose1 w:val="00000000000000000000"/>
    <w:charset w:val="86"/>
    <w:family w:val="script"/>
    <w:pitch w:val="variable"/>
    <w:sig w:usb0="00000000" w:usb1="00000000" w:usb2="00000010" w:usb3="00000000" w:csb0="00040000" w:csb1="00000000"/>
  </w:font>
  <w:font w:name="Times New Roman">
    <w:panose1 w:val="02020603050405020304"/>
    <w:charset w:val="00"/>
    <w:family w:val="roman"/>
    <w:pitch w:val="variable"/>
    <w:sig w:usb0="20007A87" w:usb1="80000000" w:usb2="00000008" w:usb3="00000000" w:csb0="000001FF" w:csb1="00000000"/>
  </w:font>
  <w:font w:name="仿宋">
    <w:panose1 w:val="02010609060101010101"/>
    <w:charset w:val="86"/>
    <w:family w:val="modern"/>
    <w:pitch w:val="variable"/>
    <w:sig w:usb0="800002BF" w:usb1="38CF7CFA" w:usb2="00000016" w:usb3="00000000" w:csb0="00040001" w:csb1="00000000"/>
  </w:font>
  <w:font w:name="黑体">
    <w:panose1 w:val="02010600030101010101"/>
    <w:charset w:val="86"/>
    <w:family w:val="auto"/>
    <w:pitch w:val="variable"/>
    <w:sig w:usb0="800002BF" w:usb1="38CF7CFA" w:usb2="00000016" w:usb3="00000000" w:csb0="00040001" w:csb1="00000000"/>
  </w:font>
  <w:font w:name="Arial">
    <w:panose1 w:val="020B0604020202020204"/>
    <w:charset w:val="01"/>
    <w:family w:val="swiss"/>
    <w:pitch w:val="variable"/>
    <w:sig w:usb0="E0002EFF" w:usb1="C000785B" w:usb2="00000009" w:usb3="00000000" w:csb0="400001FF" w:csb1="FFFF0000"/>
  </w:font>
  <w:font w:name="方正书宋_GBK">
    <w:altName w:val="微软雅黑"/>
    <w:panose1 w:val="00000000000000000000"/>
    <w:charset w:val="86"/>
    <w:family w:val="script"/>
    <w:pitch w:val="variable"/>
    <w:sig w:usb0="00000000" w:usb1="00000000" w:usb2="00000010" w:usb3="00000000" w:csb0="00040000" w:csb1="00000000"/>
  </w:font>
  <w:font w:name="方正仿宋_GBK">
    <w:altName w:val="微软雅黑"/>
    <w:panose1 w:val="00000000000000000000"/>
    <w:charset w:val="86"/>
    <w:family w:val="script"/>
    <w:pitch w:val="variable"/>
    <w:sig w:usb0="00000000" w:usb1="00000000" w:usb2="00000010" w:usb3="00000000" w:csb0="00040000" w:csb1="00000000"/>
  </w:font>
  <w:font w:name="仿宋_GB2312">
    <w:panose1 w:val="02010609030101010101"/>
    <w:charset w:val="86"/>
    <w:family w:val="modern"/>
    <w:pitch w:val="variable"/>
    <w:sig w:usb0="00000001" w:usb1="080E0000" w:usb2="00000000" w:usb3="00000000" w:csb0="00040000" w:csb1="00000000"/>
  </w:font>
  <w:font w:name="宋体">
    <w:panose1 w:val="02010600030101010101"/>
    <w:charset w:val="86"/>
    <w:family w:val="auto"/>
    <w:pitch w:val="variable"/>
    <w:sig w:usb0="00000003" w:usb1="288F0000" w:usb2="00000006" w:usb3="00000000" w:csb0="00040001" w:csb1="00000000"/>
  </w:font>
  <w:font w:name="宋体-方正超大字符集">
    <w:altName w:val="宋体"/>
    <w:panose1 w:val="00000000000000000000"/>
    <w:charset w:val="86"/>
    <w:family w:val="auto"/>
    <w:pitch w:val="variable"/>
    <w:sig w:usb0="00000000" w:usb1="00000000" w:usb2="00000000" w:usb3="00000000" w:csb0="00040000" w:csb1="00000000"/>
  </w:font>
  <w:font w:name="Calibri">
    <w:panose1 w:val="020F0502020204030204"/>
    <w:charset w:val="00"/>
    <w:family w:val="swiss"/>
    <w:pitch w:val="variable"/>
    <w:sig w:usb0="E4002EFF" w:usb1="C000247B" w:usb2="00000009" w:usb3="00000000" w:csb0="200001FF" w:csb1="0000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5"/>
      <w:framePr w:w="0" w:hRule="auto" w:wrap="around" w:vAnchor="text" w:hAnchor="margin" w:xAlign="outside" w:y="1" w:anchorLock="0"/>
      <w:tabs>
        <w:tab w:val="center" w:pos="4153"/>
        <w:tab w:val="right" w:pos="8306"/>
      </w:tabs>
      <w:rPr>
        <w:rStyle w:val="22"/>
      </w:rPr>
    </w:pPr>
    <w:r>
      <w:rPr>
        <w:rStyle w:val="22"/>
      </w:rPr>
      <w:fldChar w:fldCharType="begin"/>
    </w:r>
    <w:r>
      <w:rPr>
        <w:rStyle w:val="22"/>
      </w:rPr>
      <w:instrText xml:space="preserve">PAGE  </w:instrText>
    </w:r>
    <w:r>
      <w:fldChar w:fldCharType="separate"/>
    </w:r>
    <w:r>
      <w:rPr>
        <w:rStyle w:val="22"/>
      </w:rPr>
      <w:t>9</w:t>
    </w:r>
    <w:r>
      <w:fldChar w:fldCharType="end"/>
    </w:r>
  </w:p>
  <w:p>
    <w:pPr>
      <w:pStyle w:val="15"/>
      <w:tabs>
        <w:tab w:val="center" w:pos="4153"/>
        <w:tab w:val="right" w:pos="8306"/>
      </w:tabs>
      <w:ind w:right="360" w:firstLine="360"/>
    </w:pPr>
  </w:p>
</w:ftr>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00"/>
  <w:doNotDisplayPageBoundaries/>
  <w:bordersDoNotSurroundHeader/>
  <w:bordersDoNotSurroundFooter/>
  <w:documentProtection w:edit="readOnly"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ulTrailSpace/>
    <w:doNotExpandShiftReturn/>
    <w:adjustLineHeightInTable/>
    <w:doNotUseIndentAsNumberingTabStop/>
    <w:useAltKinsokuLineBreakRules/>
    <w:doNotSuppressIndentation/>
    <w:splitPgBreakAndParaMark/>
    <w:compatSetting w:name="compatibilityMode" w:uri="http://schemas.microsoft.com/office/word" w:val="11"/>
  </w:compat>
  <w:docVars>
    <w:docVar w:name="commondata" w:val="eyJoZGlkIjoiOTEzOTlhYzk3ZDVkNTZmM2QwYzQ3Mjg4ZWU1NWY1MmIifQ=="/>
  </w:docVars>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pPr>
      <w:widowControl w:val="0"/>
      <w:jc w:val="both"/>
    </w:pPr>
    <w:rPr>
      <w:rFonts w:ascii="Calibri" w:eastAsia="宋体" w:cs="黑体" w:hAnsi="Calibri"/>
      <w:kern w:val="2"/>
      <w:sz w:val="21"/>
      <w:szCs w:val="22"/>
      <w:lang w:val="en-US" w:eastAsia="zh-CN" w:bidi="ar-SA"/>
    </w:rPr>
  </w:style>
  <w:style w:type="paragraph" w:styleId="1">
    <w:name w:val="heading 1"/>
    <w:basedOn w:val="0"/>
    <w:next w:val="0"/>
    <w:pPr>
      <w:keepNext/>
      <w:keepLines/>
      <w:spacing w:before="340" w:after="330" w:line="578" w:lineRule="auto"/>
      <w:outlineLvl w:val="0"/>
    </w:pPr>
    <w:rPr>
      <w:b/>
      <w:bCs/>
      <w:kern w:val="44"/>
      <w:sz w:val="44"/>
      <w:szCs w:val="44"/>
    </w:rPr>
  </w:style>
  <w:style w:type="paragraph" w:styleId="2">
    <w:name w:val="heading 2"/>
    <w:basedOn w:val="0"/>
    <w:next w:val="0"/>
    <w:pPr>
      <w:keepNext/>
      <w:keepLines/>
      <w:spacing w:before="260" w:after="260" w:line="415" w:lineRule="auto"/>
      <w:outlineLvl w:val="1"/>
    </w:pPr>
    <w:rPr>
      <w:rFonts w:ascii="Times New Roman" w:eastAsia="黑体" w:hAnsi="Times New Roman"/>
      <w:b/>
      <w:bCs/>
      <w:sz w:val="32"/>
      <w:szCs w:val="32"/>
    </w:rPr>
  </w:style>
  <w:style w:type="paragraph" w:styleId="3">
    <w:name w:val="heading 3"/>
    <w:basedOn w:val="0"/>
    <w:next w:val="0"/>
    <w:pPr>
      <w:keepNext/>
      <w:keepLines/>
      <w:spacing w:before="260" w:after="260" w:line="415" w:lineRule="auto"/>
      <w:outlineLvl w:val="2"/>
    </w:pPr>
    <w:rPr>
      <w:b/>
      <w:bCs/>
      <w:sz w:val="32"/>
      <w:szCs w:val="32"/>
    </w:rPr>
  </w:style>
  <w:style w:type="character" w:default="1" w:styleId="10">
    <w:name w:val="Default Paragraph Font"/>
  </w:style>
  <w:style w:type="paragraph" w:styleId="15">
    <w:name w:val="footer"/>
    <w:basedOn w:val="0"/>
    <w:pPr>
      <w:tabs>
        <w:tab w:val="center" w:pos="4153"/>
        <w:tab w:val="right" w:pos="8306"/>
      </w:tabs>
      <w:snapToGrid w:val="0"/>
      <w:jc w:val="left"/>
    </w:pPr>
    <w:rPr>
      <w:rFonts w:ascii="Times New Roman" w:cs="Times New Roman" w:hAnsi="Times New Roman"/>
      <w:sz w:val="18"/>
      <w:szCs w:val="18"/>
    </w:rPr>
  </w:style>
  <w:style w:type="paragraph" w:styleId="16">
    <w:name w:val="header"/>
    <w:basedOn w:val="0"/>
    <w:pPr>
      <w:pBdr>
        <w:bottom w:val="single" w:sz="6" w:space="1" w:color="auto"/>
      </w:pBdr>
      <w:tabs>
        <w:tab w:val="center" w:pos="4153"/>
        <w:tab w:val="right" w:pos="8306"/>
      </w:tabs>
      <w:snapToGrid w:val="0"/>
      <w:jc w:val="center"/>
    </w:pPr>
    <w:rPr>
      <w:rFonts w:ascii="Times New Roman" w:cs="Times New Roman" w:hAnsi="Times New Roman"/>
      <w:sz w:val="18"/>
      <w:szCs w:val="18"/>
    </w:rPr>
  </w:style>
  <w:style w:type="paragraph" w:styleId="17">
    <w:name w:val="toc 1"/>
    <w:basedOn w:val="0"/>
    <w:next w:val="0"/>
    <w:rPr>
      <w:rFonts w:ascii="Times New Roman" w:cs="Times New Roman" w:hAnsi="Times New Roman"/>
      <w:szCs w:val="24"/>
    </w:rPr>
  </w:style>
  <w:style w:type="paragraph" w:styleId="18">
    <w:name w:val="footnote text"/>
    <w:basedOn w:val="0"/>
    <w:pPr>
      <w:snapToGrid w:val="0"/>
      <w:jc w:val="left"/>
    </w:pPr>
    <w:rPr>
      <w:sz w:val="18"/>
      <w:szCs w:val="18"/>
    </w:rPr>
  </w:style>
  <w:style w:type="paragraph" w:styleId="19">
    <w:name w:val="toc 2"/>
    <w:basedOn w:val="0"/>
    <w:next w:val="0"/>
    <w:pPr>
      <w:ind w:leftChars="200" w:left="200"/>
    </w:pPr>
    <w:rPr>
      <w:rFonts w:ascii="Times New Roman" w:cs="Times New Roman" w:hAnsi="Times New Roman"/>
      <w:szCs w:val="24"/>
    </w:rPr>
  </w:style>
  <w:style w:type="character" w:styleId="20">
    <w:name w:val="footnote reference"/>
    <w:rPr>
      <w:vertAlign w:val="superscript"/>
    </w:rPr>
  </w:style>
  <w:style w:type="paragraph" w:customStyle="1" w:styleId="21">
    <w:name w:val="Char"/>
    <w:basedOn w:val="0"/>
    <w:rPr>
      <w:rFonts w:ascii="Times New Roman" w:cs="Times New Roman" w:hAnsi="Times New Roman"/>
      <w:szCs w:val="24"/>
    </w:rPr>
  </w:style>
  <w:style w:type="character" w:customStyle="1" w:styleId="22">
    <w:name w:val="页码1"/>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styles" Target="styles.xml"/><Relationship Id="rId4" Type="http://schemas.openxmlformats.org/officeDocument/2006/relationships/fontTable" Target="fontTable.xml"/><Relationship Id="rId5" Type="http://schemas.openxmlformats.org/officeDocument/2006/relationships/customXml" Target="../customXml/item1.xml"/></Relationships>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customProps>
</customData>
</file>

<file path=customXml/itemProps1.xml><?xml version="1.0" encoding="utf-8"?>
<ds:datastoreItem xmlns:ds="http://schemas.openxmlformats.org/officeDocument/2006/customXml" ds:itemID="{9444E2E3-B57B-4AF0-AB83-F115A56C7B54}">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3</TotalTime>
  <Application>Yozo_Office27021597764231179</Application>
  <Pages>9</Pages>
  <Words>0</Words>
  <Characters>2726</Characters>
  <Lines>0</Lines>
  <Paragraphs>63</Paragraphs>
  <CharactersWithSpaces>3635</CharactersWithSpaces>
  <Company>Microsoft</Company>
</Properties>
</file>

<file path=docProps/core.xml><?xml version="1.0" encoding="utf-8"?>
<cp:coreProperties xmlns:cp="http://schemas.openxmlformats.org/package/2006/metadata/core-properties" xmlns:dc="http://purl.org/dc/elements/1.1/" xmlns:dcterms="http://purl.org/dc/terms/" xmlns:xsi="http://www.w3.org/2001/XMLSchema-instance">
  <dc:title>o</dc:title>
  <dc:creator>guest</dc:creator>
  <cp:lastModifiedBy>msi</cp:lastModifiedBy>
  <cp:revision>7</cp:revision>
  <cp:lastPrinted>2020-01-10T15:53:00Z</cp:lastPrinted>
  <dcterms:created xsi:type="dcterms:W3CDTF">2017-01-23T17:29:00Z</dcterms:created>
  <dcterms:modified xsi:type="dcterms:W3CDTF">2023-11-09T01:22:54Z</dcterms:modified>
</cp:coreProperties>
</file>

<file path=docProps/custom.xml><?xml version="1.0" encoding="utf-8"?>
<Properties xmlns:vt="http://schemas.openxmlformats.org/officeDocument/2006/docPropsVTypes" xmlns="http://schemas.openxmlformats.org/officeDocument/2006/custom-properties">
  <property fmtid="{D5CDD505-2E9C-101B-9397-08002B2CF9AE}" pid="2" name="KSOProductBuildVer">
    <vt:lpwstr>2052-11.1.0.13703</vt:lpwstr>
  </property>
  <property fmtid="{D5CDD505-2E9C-101B-9397-08002B2CF9AE}" pid="3" name="ICV">
    <vt:lpwstr>A100AB5FED774225B5908A516BC4E201</vt:lpwstr>
  </property>
</Properties>
</file>