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rPr>
          <w:rFonts w:ascii="黑体" w:eastAsia="黑体" w:cs="黑体" w:hAnsi="黑体"/>
          <w:b/>
          <w:color w:val="000000"/>
          <w:sz w:val="44"/>
        </w:rPr>
      </w:pPr>
    </w:p>
    <w:p>
      <w:pPr>
        <w:jc w:val="center"/>
        <w:outlineLvl w:val="0"/>
      </w:pPr>
      <w:r>
        <w:rPr>
          <w:rFonts w:ascii="黑体" w:eastAsia="黑体" w:cs="黑体" w:hAnsi="黑体"/>
          <w:b/>
          <w:color w:val="000000"/>
          <w:sz w:val="44"/>
        </w:rPr>
        <w:t>2021年部门预算信息公开目录</w:t>
      </w:r>
    </w:p>
    <w:p>
      <w:pPr>
        <w:jc w:val="center"/>
      </w:pPr>
      <w:r>
        <w:rPr>
          <w:rFonts w:ascii="黑体" w:eastAsia="黑体" w:cs="黑体" w:hAnsi="黑体"/>
          <w:b/>
          <w:color w:val="000000"/>
          <w:sz w:val="30"/>
        </w:rPr>
        <w:t xml:space="preserve"> </w:t>
      </w:r>
    </w:p>
    <w:p>
      <w:pPr>
        <w:jc w:val="center"/>
      </w:pPr>
      <w:r>
        <w:rPr>
          <w:rFonts w:ascii="黑体" w:eastAsia="黑体" w:cs="黑体" w:hAnsi="黑体"/>
          <w:b/>
          <w:color w:val="000000"/>
          <w:sz w:val="30"/>
        </w:rPr>
        <w:t>第一部分  部门预算</w:t>
      </w:r>
    </w:p>
    <w:p>
      <w:r>
        <w:rPr>
          <w:rFonts w:ascii="方正楷体_GBK" w:eastAsia="方正楷体_GBK" w:cs="方正楷体_GBK" w:hAnsi="方正楷体_GBK"/>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fldChar w:fldCharType="end"/>
      </w:r>
      <w:r>
        <w:t>2</w:t>
      </w:r>
    </w:p>
    <w:p>
      <w:pPr>
        <w:pStyle w:val="16"/>
        <w:tabs>
          <w:tab w:val="right" w:leader="dot" w:pos="14562"/>
        </w:tabs>
      </w:pPr>
      <w:r>
        <w:fldChar w:fldCharType="begin"/>
      </w:r>
      <w:r>
        <w:instrText xml:space="preserve"> HYPERLINK \l "_Toc_2_2_0000000002" </w:instrText>
      </w:r>
      <w:r>
        <w:fldChar w:fldCharType="separate"/>
      </w:r>
      <w:r>
        <w:t>部门预算收入总表</w:t>
        <w:tab/>
      </w:r>
      <w:r>
        <w:fldChar w:fldCharType="end"/>
      </w:r>
      <w:r>
        <w:t>4</w:t>
      </w:r>
    </w:p>
    <w:p>
      <w:pPr>
        <w:pStyle w:val="16"/>
        <w:tabs>
          <w:tab w:val="right" w:leader="dot" w:pos="14562"/>
        </w:tabs>
      </w:pPr>
      <w:r>
        <w:fldChar w:fldCharType="begin"/>
      </w:r>
      <w:r>
        <w:instrText xml:space="preserve"> HYPERLINK \l "_Toc_2_2_0000000003" </w:instrText>
      </w:r>
      <w:r>
        <w:fldChar w:fldCharType="separate"/>
      </w:r>
      <w:r>
        <w:t>部门预算支出总表</w:t>
        <w:tab/>
        <w:t>5</w:t>
      </w:r>
      <w:r>
        <w:fldChar w:fldCharType="end"/>
      </w:r>
    </w:p>
    <w:p>
      <w:pPr>
        <w:pStyle w:val="16"/>
        <w:tabs>
          <w:tab w:val="right" w:leader="dot" w:pos="14562"/>
        </w:tabs>
      </w:pPr>
      <w:r>
        <w:fldChar w:fldCharType="begin"/>
      </w:r>
      <w:r>
        <w:instrText xml:space="preserve"> HYPERLINK \l "_Toc_2_2_0000000004" </w:instrText>
      </w:r>
      <w:r>
        <w:fldChar w:fldCharType="separate"/>
      </w:r>
      <w:r>
        <w:t>部门预算财政拨款收支总表</w:t>
        <w:tab/>
        <w:t>6</w:t>
      </w:r>
      <w:r>
        <w:fldChar w:fldCharType="end"/>
      </w:r>
    </w:p>
    <w:p>
      <w:pPr>
        <w:pStyle w:val="16"/>
        <w:tabs>
          <w:tab w:val="right" w:leader="dot" w:pos="14562"/>
        </w:tabs>
      </w:pPr>
      <w:r>
        <w:fldChar w:fldCharType="begin"/>
      </w:r>
      <w:r>
        <w:instrText xml:space="preserve"> HYPERLINK \l "_Toc_2_2_0000000005" </w:instrText>
      </w:r>
      <w:r>
        <w:fldChar w:fldCharType="separate"/>
      </w:r>
      <w:r>
        <w:t>部门预算一般公共预算财政拨款支出表</w:t>
        <w:tab/>
        <w:t>8</w:t>
      </w:r>
      <w:r>
        <w:fldChar w:fldCharType="end"/>
      </w:r>
    </w:p>
    <w:p>
      <w:pPr>
        <w:pStyle w:val="16"/>
        <w:tabs>
          <w:tab w:val="right" w:leader="dot" w:pos="14562"/>
        </w:tabs>
      </w:pPr>
      <w:r>
        <w:fldChar w:fldCharType="begin"/>
      </w:r>
      <w:r>
        <w:instrText xml:space="preserve"> HYPERLINK \l "_Toc_2_2_0000000006" </w:instrText>
      </w:r>
      <w:r>
        <w:fldChar w:fldCharType="separate"/>
      </w:r>
      <w:r>
        <w:t>部门预算一般公共预算财政拨款基本支出表</w:t>
        <w:tab/>
        <w:t>9</w:t>
      </w:r>
      <w:r>
        <w:fldChar w:fldCharType="end"/>
      </w:r>
    </w:p>
    <w:p>
      <w:pPr>
        <w:pStyle w:val="16"/>
        <w:tabs>
          <w:tab w:val="right" w:leader="dot" w:pos="14562"/>
        </w:tabs>
      </w:pPr>
      <w:r>
        <w:fldChar w:fldCharType="begin"/>
      </w:r>
      <w:r>
        <w:instrText xml:space="preserve"> HYPERLINK \l "_Toc_2_2_0000000007" </w:instrText>
      </w:r>
      <w:r>
        <w:fldChar w:fldCharType="separate"/>
      </w:r>
      <w:r>
        <w:t>部门预算政府基金预算财政拨款支出表</w:t>
        <w:tab/>
      </w:r>
      <w:r>
        <w:fldChar w:fldCharType="end"/>
      </w:r>
      <w:r>
        <w:t>10</w:t>
      </w:r>
    </w:p>
    <w:p>
      <w:pPr>
        <w:pStyle w:val="16"/>
        <w:tabs>
          <w:tab w:val="right" w:leader="dot" w:pos="14562"/>
        </w:tabs>
      </w:pPr>
      <w:r>
        <w:fldChar w:fldCharType="begin"/>
      </w:r>
      <w:r>
        <w:instrText xml:space="preserve"> HYPERLINK \l "_Toc_2_2_0000000008" </w:instrText>
      </w:r>
      <w:r>
        <w:fldChar w:fldCharType="separate"/>
      </w:r>
      <w:r>
        <w:t>部门预算国有资本经营预算财政拨款支出表</w:t>
        <w:tab/>
      </w:r>
      <w:r>
        <w:fldChar w:fldCharType="end"/>
      </w:r>
      <w:r>
        <w:t>11</w:t>
      </w:r>
    </w:p>
    <w:p>
      <w:pPr>
        <w:pStyle w:val="16"/>
        <w:tabs>
          <w:tab w:val="right" w:leader="dot" w:pos="14562"/>
        </w:tabs>
      </w:pPr>
      <w:r>
        <w:fldChar w:fldCharType="begin"/>
      </w:r>
      <w:r>
        <w:instrText xml:space="preserve"> HYPERLINK \l "_Toc_2_2_0000000009" </w:instrText>
      </w:r>
      <w:r>
        <w:fldChar w:fldCharType="separate"/>
      </w:r>
      <w:r>
        <w:t>部门预算财政拨款“三公”经费支出表</w:t>
        <w:tab/>
        <w:t>12</w:t>
      </w:r>
      <w:r>
        <w:fldChar w:fldCharType="end"/>
      </w:r>
    </w:p>
    <w:p>
      <w:r>
        <w:fldChar w:fldCharType="end"/>
      </w:r>
    </w:p>
    <w:p>
      <w:r>
        <w:rPr>
          <w:rFonts w:ascii="方正楷体_GBK" w:eastAsia="方正楷体_GBK" w:cs="方正楷体_GBK" w:hAnsi="方正楷体_GBK"/>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fldChar w:fldCharType="end"/>
      </w:r>
      <w:r>
        <w:t>13</w:t>
      </w:r>
    </w:p>
    <w:p>
      <w:pPr>
        <w:pStyle w:val="16"/>
        <w:tabs>
          <w:tab w:val="right" w:leader="dot" w:pos="14562"/>
        </w:tabs>
      </w:pPr>
      <w:r>
        <w:fldChar w:fldCharType="begin"/>
      </w:r>
      <w:r>
        <w:instrText xml:space="preserve"> HYPERLINK \l "_Toc_3_3_0000000011" </w:instrText>
      </w:r>
      <w:r>
        <w:fldChar w:fldCharType="separate"/>
      </w:r>
      <w:r>
        <w:t>二、部门预算安排的总体情况</w:t>
        <w:tab/>
        <w:t>13</w:t>
      </w:r>
      <w:r>
        <w:fldChar w:fldCharType="end"/>
      </w:r>
    </w:p>
    <w:p>
      <w:pPr>
        <w:pStyle w:val="16"/>
        <w:tabs>
          <w:tab w:val="right" w:leader="dot" w:pos="14562"/>
        </w:tabs>
      </w:pPr>
      <w:r>
        <w:fldChar w:fldCharType="begin"/>
      </w:r>
      <w:r>
        <w:instrText xml:space="preserve"> HYPERLINK \l "_Toc_3_3_0000000012" </w:instrText>
      </w:r>
      <w:r>
        <w:fldChar w:fldCharType="separate"/>
      </w:r>
      <w:r>
        <w:t>三、机关运行经费安排情况</w:t>
        <w:tab/>
        <w:t>14</w:t>
      </w:r>
      <w:r>
        <w:fldChar w:fldCharType="end"/>
      </w:r>
    </w:p>
    <w:p>
      <w:pPr>
        <w:pStyle w:val="16"/>
        <w:tabs>
          <w:tab w:val="right" w:leader="dot" w:pos="14562"/>
        </w:tabs>
      </w:pPr>
      <w:r>
        <w:fldChar w:fldCharType="begin"/>
      </w:r>
      <w:r>
        <w:instrText xml:space="preserve"> HYPERLINK \l "_Toc_3_3_0000000013" </w:instrText>
      </w:r>
      <w:r>
        <w:fldChar w:fldCharType="separate"/>
      </w:r>
      <w:r>
        <w:t>四、财政拨款“三公”经费预算情况及增减变化原因</w:t>
        <w:tab/>
        <w:t>14</w:t>
      </w:r>
      <w:r>
        <w:fldChar w:fldCharType="end"/>
      </w:r>
    </w:p>
    <w:p>
      <w:pPr>
        <w:pStyle w:val="16"/>
        <w:tabs>
          <w:tab w:val="right" w:leader="dot" w:pos="14562"/>
        </w:tabs>
      </w:pPr>
      <w:r>
        <w:fldChar w:fldCharType="begin"/>
      </w:r>
      <w:r>
        <w:instrText xml:space="preserve"> HYPERLINK \l "_Toc_3_3_0000000014" </w:instrText>
      </w:r>
      <w:r>
        <w:fldChar w:fldCharType="separate"/>
      </w:r>
      <w:r>
        <w:t>五、预算绩效信息</w:t>
        <w:tab/>
        <w:t>15</w:t>
      </w:r>
      <w:r>
        <w:fldChar w:fldCharType="end"/>
      </w:r>
    </w:p>
    <w:p>
      <w:pPr>
        <w:pStyle w:val="16"/>
        <w:tabs>
          <w:tab w:val="right" w:leader="dot" w:pos="14562"/>
        </w:tabs>
      </w:pPr>
      <w:r>
        <w:fldChar w:fldCharType="begin"/>
      </w:r>
      <w:r>
        <w:instrText xml:space="preserve"> HYPERLINK \l "_Toc_3_3_0000000015" </w:instrText>
      </w:r>
      <w:r>
        <w:fldChar w:fldCharType="separate"/>
      </w:r>
      <w:r>
        <w:t>六、政府采购预算情况</w:t>
        <w:tab/>
        <w:t>21</w:t>
      </w:r>
      <w:r>
        <w:fldChar w:fldCharType="end"/>
      </w:r>
    </w:p>
    <w:p>
      <w:pPr>
        <w:pStyle w:val="16"/>
        <w:tabs>
          <w:tab w:val="right" w:leader="dot" w:pos="14562"/>
        </w:tabs>
      </w:pPr>
      <w:r>
        <w:fldChar w:fldCharType="begin"/>
      </w:r>
      <w:r>
        <w:instrText xml:space="preserve"> HYPERLINK \l "_Toc_3_3_0000000016" </w:instrText>
      </w:r>
      <w:r>
        <w:fldChar w:fldCharType="separate"/>
      </w:r>
      <w:r>
        <w:t>七、国有资产信息</w:t>
        <w:tab/>
        <w:t>22</w:t>
      </w:r>
      <w:r>
        <w:fldChar w:fldCharType="end"/>
      </w:r>
    </w:p>
    <w:p>
      <w:pPr>
        <w:pStyle w:val="16"/>
        <w:tabs>
          <w:tab w:val="right" w:leader="dot" w:pos="14562"/>
        </w:tabs>
      </w:pPr>
      <w:r>
        <w:fldChar w:fldCharType="begin"/>
      </w:r>
      <w:r>
        <w:instrText xml:space="preserve"> HYPERLINK \l "_Toc_3_3_0000000017" </w:instrText>
      </w:r>
      <w:r>
        <w:fldChar w:fldCharType="separate"/>
      </w:r>
      <w:r>
        <w:t>八、名词解释</w:t>
        <w:tab/>
        <w:t>22</w:t>
      </w:r>
      <w:r>
        <w:fldChar w:fldCharType="end"/>
      </w:r>
    </w:p>
    <w:p>
      <w:pPr>
        <w:pStyle w:val="16"/>
        <w:tabs>
          <w:tab w:val="right" w:leader="dot" w:pos="14562"/>
        </w:tabs>
      </w:pPr>
      <w:r>
        <w:fldChar w:fldCharType="begin"/>
      </w:r>
      <w:r>
        <w:instrText xml:space="preserve"> HYPERLINK \l "_Toc_3_3_0000000018" </w:instrText>
      </w:r>
      <w:r>
        <w:fldChar w:fldCharType="separate"/>
      </w:r>
      <w:r>
        <w:t>九、其他需要说明的事项</w:t>
        <w:tab/>
        <w:t>23</w:t>
      </w:r>
      <w:r>
        <w:fldChar w:fldCharType="end"/>
      </w:r>
    </w:p>
    <w:p>
      <w:r>
        <w:fldChar w:fldCharType="end"/>
      </w:r>
    </w:p>
    <w:p>
      <w:pPr>
        <w:jc w:val="center"/>
      </w:pPr>
      <w:r>
        <w:rPr>
          <w:rFonts w:ascii="黑体" w:eastAsia="黑体" w:cs="黑体" w:hAnsi="黑体"/>
          <w:b/>
          <w:color w:val="000000"/>
          <w:sz w:val="30"/>
        </w:rPr>
        <w:t>第二部分  部门所属单位预算</w:t>
      </w:r>
    </w:p>
    <w:p>
      <w:pPr>
        <w:pStyle w:val="16"/>
        <w:tabs>
          <w:tab w:val="right" w:leader="dot" w:pos="14562"/>
        </w:tabs>
      </w:pPr>
      <w:r>
        <w:fldChar w:fldCharType="begin"/>
      </w:r>
      <w:r>
        <w:instrText xml:space="preserve">TOC \o "4-4" \h \z \u </w:instrText>
      </w:r>
      <w:r>
        <w:fldChar w:fldCharType="separate"/>
      </w:r>
      <w:r>
        <w:fldChar w:fldCharType="begin"/>
      </w:r>
      <w:r>
        <w:instrText xml:space="preserve"> HYPERLINK \l "_Toc_4_4_0000000019" </w:instrText>
      </w:r>
      <w:r>
        <w:fldChar w:fldCharType="separate"/>
      </w:r>
      <w:r>
        <w:t>一、深泽县信访局本级收支预算</w:t>
        <w:tab/>
        <w:t>25</w:t>
      </w:r>
      <w:r>
        <w:fldChar w:fldCharType="end"/>
      </w:r>
    </w:p>
    <w:p>
      <w:pPr>
        <w:sectPr>
          <w:pgSz w:w="16840" w:h="11900" w:orient="landscape"/>
          <w:pgMar w:top="1587" w:right="1134" w:bottom="1361" w:left="1134" w:header="720" w:footer="720" w:gutter="0"/>
          <w:pgNumType w:start="1"/>
          <w:docGrid w:linePitch="312" w:charSpace="0"/>
        </w:sectPr>
      </w:pPr>
      <w:r>
        <w:fldChar w:fldCharType="end"/>
      </w:r>
    </w:p>
    <w:p/>
    <w:p/>
    <w:p/>
    <w:p/>
    <w:p/>
    <w:p/>
    <w:p/>
    <w:p/>
    <w:p/>
    <w:p/>
    <w:p>
      <w:pPr>
        <w:jc w:val="center"/>
        <w:outlineLvl w:val="0"/>
        <w:sectPr>
          <w:footerReference w:type="default" r:id="rId2"/>
          <w:footerReference w:type="even" r:id="rId3"/>
          <w:pgSz w:w="16840" w:h="11900" w:orient="landscape"/>
          <w:pgMar w:top="1361" w:right="1020" w:bottom="1134" w:left="1020" w:header="720" w:footer="720" w:gutter="0"/>
          <w:pgNumType w:start="1"/>
          <w:docGrid w:linePitch="312" w:charSpace="0"/>
        </w:sectPr>
      </w:pPr>
      <w:r>
        <w:rPr>
          <w:rFonts w:ascii="方正小标宋_GBK" w:eastAsia="方正小标宋_GBK" w:cs="方正小标宋_GBK" w:hAnsi="方正小标宋_GBK"/>
          <w:color w:val="000000"/>
          <w:sz w:val="72"/>
        </w:rPr>
        <w:t>第一部分  部门预算</w:t>
      </w:r>
    </w:p>
    <w:tbl>
      <w:tblPr>
        <w:jc w:val="left"/>
        <w:tblInd w:w="0" w:type="dxa"/>
        <w:tblW w:w="14575"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2595"/>
        <w:gridCol w:w="3461"/>
        <w:gridCol w:w="3622"/>
        <w:gridCol w:w="739"/>
        <w:gridCol w:w="2701"/>
        <w:gridCol w:w="708"/>
      </w:tblGrid>
      <w:tr>
        <w:trPr>
          <w:trHeight w:val="750"/>
        </w:trPr>
        <w:tc>
          <w:tcPr>
            <w:tcW w:w="1457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部门预算收支总表</w:t>
            </w:r>
          </w:p>
        </w:tc>
      </w:tr>
      <w:tr>
        <w:trPr>
          <w:trHeight w:val="300"/>
        </w:trPr>
        <w:tc>
          <w:tcPr>
            <w:tcW w:w="10428"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r>
              <w:rPr>
                <w:rFonts w:ascii="宋体" w:eastAsia="宋体" w:cs="宋体" w:hAnsi="宋体"/>
                <w:color w:val="000000"/>
                <w:kern w:val="0"/>
                <w:sz w:val="18"/>
                <w:szCs w:val="18"/>
              </w:rPr>
              <w:t xml:space="preserve">                                                                 </w:t>
            </w:r>
            <w:r>
              <w:rPr>
                <w:rFonts w:ascii="宋体" w:eastAsia="宋体" w:cs="宋体" w:hAnsi="宋体" w:hint="eastAsia"/>
                <w:color w:val="000000"/>
                <w:kern w:val="0"/>
                <w:sz w:val="18"/>
                <w:szCs w:val="18"/>
              </w:rPr>
              <w:t>预算年度：2021</w:t>
            </w:r>
          </w:p>
        </w:tc>
        <w:tc>
          <w:tcPr>
            <w:tcW w:w="739" w:type="dxa"/>
            <w:tcBorders>
              <w:top w:val="nil"/>
              <w:left w:val="nil"/>
              <w:bottom w:val="nil"/>
              <w:right w:val="nil"/>
            </w:tcBorders>
            <w:shd w:val="clear" w:color="auto" w:fill="auto"/>
            <w:tcMar>
              <w:top w:w="15" w:type="dxa"/>
              <w:left w:w="15" w:type="dxa"/>
              <w:right w:w="15" w:type="dxa"/>
            </w:tcMar>
            <w:vAlign w:val="center"/>
          </w:tcPr>
          <w:p>
            <w:pPr>
              <w:widowControl/>
              <w:ind w:left="-344" w:firstLine="344"/>
              <w:textAlignment w:val="center"/>
              <w:rPr>
                <w:rFonts w:ascii="宋体" w:eastAsia="宋体" w:cs="宋体" w:hAnsi="宋体"/>
                <w:color w:val="000000"/>
                <w:sz w:val="18"/>
                <w:szCs w:val="18"/>
              </w:rPr>
            </w:pPr>
          </w:p>
        </w:tc>
        <w:tc>
          <w:tcPr>
            <w:tcW w:w="3409" w:type="dxa"/>
            <w:gridSpan w:val="2"/>
            <w:tcBorders>
              <w:top w:val="nil"/>
              <w:left w:val="nil"/>
              <w:bottom w:val="nil"/>
              <w:right w:val="nil"/>
            </w:tcBorders>
            <w:shd w:val="clear" w:color="auto" w:fill="auto"/>
            <w:tcMar>
              <w:top w:w="15" w:type="dxa"/>
              <w:left w:w="15" w:type="dxa"/>
              <w:right w:w="15" w:type="dxa"/>
            </w:tcMar>
            <w:vAlign w:val="center"/>
          </w:tcPr>
          <w:p>
            <w:pPr>
              <w:widowControl/>
              <w:ind w:firstLineChars="250" w:firstLine="450"/>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gridAfter w:val="1"/>
          <w:wAfter w:w="708" w:type="dxa"/>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6056"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w:t>
            </w:r>
          </w:p>
        </w:tc>
        <w:tc>
          <w:tcPr>
            <w:tcW w:w="7062"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w:t>
            </w:r>
          </w:p>
        </w:tc>
      </w:tr>
      <w:tr>
        <w:trPr>
          <w:trHeight w:val="600"/>
          <w:gridAfter w:val="1"/>
          <w:wAfter w:w="708" w:type="dxa"/>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color w:val="000000"/>
                <w:sz w:val="18"/>
                <w:szCs w:val="18"/>
              </w:rPr>
              <w:t>预算数</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color w:val="000000"/>
                <w:kern w:val="0"/>
                <w:sz w:val="18"/>
                <w:szCs w:val="18"/>
              </w:rPr>
              <w:t>预算数</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r>
      <w:tr>
        <w:trPr>
          <w:trHeight w:val="338"/>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r>
              <w:rPr>
                <w:rFonts w:ascii="宋体" w:eastAsia="宋体" w:cs="宋体" w:hAnsi="宋体"/>
                <w:color w:val="000000"/>
                <w:kern w:val="0"/>
                <w:sz w:val="18"/>
                <w:szCs w:val="18"/>
              </w:rPr>
              <w:t>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一、一般公共服务支出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r>
              <w:rPr>
                <w:rFonts w:ascii="宋体" w:eastAsia="宋体" w:cs="宋体" w:hAnsi="宋体"/>
                <w:color w:val="000000"/>
                <w:kern w:val="0"/>
                <w:sz w:val="18"/>
                <w:szCs w:val="18"/>
              </w:rPr>
              <w:t>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二、外交支出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r>
              <w:rPr>
                <w:rFonts w:ascii="宋体" w:eastAsia="宋体" w:cs="宋体" w:hAnsi="宋体"/>
                <w:color w:val="000000"/>
                <w:kern w:val="0"/>
                <w:sz w:val="18"/>
                <w:szCs w:val="18"/>
              </w:rPr>
              <w:t>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三、国防支出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四、财政专户管理资金收入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四、公共安全支出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五、事业收入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五、教育支出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六、事业单位经营收入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六、科学技术支出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七、上级补助收入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七、文化旅游体育与传媒支出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八、附属单位上缴收入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八、社会保障和就业支出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九、其他收入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九、社会保险基金支出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十、卫生健康支出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十一、节能环保支出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十二、城乡社区支出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十三、农林水支出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十四、交通运输支出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十五、资源勘探工业信息等支出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十六、商业服务业等支出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十七、金融支出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十八、援助其他地区支出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十九、自然资源海洋气象等支出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二十、住房保障支出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二十一、粮油物资储备支出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二十二、国有资本经营预算支出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二十三、灾害防治及应急管理支出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二十四、预备费</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二十五、其他支出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二十六、转移性支出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二十七、债务还本支出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二十八、债务付息支出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二十九、债务发行费用支出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三十、抗疫特别国债安排的支出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本年收入合计</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color w:val="000000"/>
                <w:kern w:val="0"/>
                <w:sz w:val="18"/>
                <w:szCs w:val="18"/>
              </w:rPr>
              <w:t>上年</w:t>
            </w:r>
            <w:r>
              <w:rPr>
                <w:rFonts w:ascii="宋体" w:eastAsia="宋体" w:cs="宋体" w:hAnsi="宋体" w:hint="eastAsia"/>
                <w:color w:val="000000"/>
                <w:kern w:val="0"/>
                <w:sz w:val="18"/>
                <w:szCs w:val="18"/>
              </w:rPr>
              <w:t>结转和结余</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w:t>
            </w:r>
            <w:r>
              <w:rPr>
                <w:rFonts w:ascii="宋体" w:eastAsia="宋体" w:cs="宋体" w:hAnsi="宋体"/>
                <w:color w:val="000000"/>
                <w:kern w:val="0"/>
                <w:sz w:val="18"/>
                <w:szCs w:val="18"/>
              </w:rPr>
              <w:t>终</w:t>
            </w:r>
            <w:r>
              <w:rPr>
                <w:rFonts w:ascii="宋体" w:eastAsia="宋体" w:cs="宋体" w:hAnsi="宋体" w:hint="eastAsia"/>
                <w:color w:val="000000"/>
                <w:kern w:val="0"/>
                <w:sz w:val="18"/>
                <w:szCs w:val="18"/>
              </w:rPr>
              <w:t>结转和结余</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bookmarkStart w:id="0" w:name="_GoBack"/>
            <w:bookmarkEnd w:id="0"/>
            <w:r>
              <w:rPr>
                <w:rFonts w:ascii="宋体" w:eastAsia="宋体" w:cs="宋体" w:hAnsi="宋体" w:hint="eastAsia"/>
                <w:color w:val="000000"/>
                <w:kern w:val="0"/>
                <w:sz w:val="18"/>
                <w:szCs w:val="18"/>
              </w:rPr>
              <w:t>36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收入总计</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支出总计</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r>
    </w:tbl>
    <w:p/>
    <w:p/>
    <w:p/>
    <w:p/>
    <w:p/>
    <w:p/>
    <w:p/>
    <w:p/>
    <w:p/>
    <w:p/>
    <w:p/>
    <w:p/>
    <w:p/>
    <w:tbl>
      <w:tblPr>
        <w:jc w:val="left"/>
        <w:tblInd w:w="0" w:type="dxa"/>
        <w:tblW w:w="14714"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570"/>
        <w:gridCol w:w="975"/>
        <w:gridCol w:w="3000"/>
        <w:gridCol w:w="1223"/>
        <w:gridCol w:w="968"/>
        <w:gridCol w:w="1010"/>
        <w:gridCol w:w="995"/>
        <w:gridCol w:w="996"/>
        <w:gridCol w:w="872"/>
        <w:gridCol w:w="900"/>
        <w:gridCol w:w="1077"/>
        <w:gridCol w:w="955"/>
        <w:gridCol w:w="1173"/>
      </w:tblGrid>
      <w:tr>
        <w:trPr>
          <w:trHeight w:val="750"/>
        </w:trPr>
        <w:tc>
          <w:tcPr>
            <w:tcW w:w="14714" w:type="dxa"/>
            <w:gridSpan w:val="13"/>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部门预算收入总表</w:t>
            </w:r>
          </w:p>
        </w:tc>
      </w:tr>
      <w:tr>
        <w:trPr>
          <w:trHeight w:val="300"/>
        </w:trPr>
        <w:tc>
          <w:tcPr>
            <w:tcW w:w="10609" w:type="dxa"/>
            <w:gridSpan w:val="9"/>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1977"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128"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57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397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功能分类科目</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7773" w:type="dxa"/>
            <w:gridSpan w:val="8"/>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上年结转</w:t>
            </w:r>
          </w:p>
        </w:tc>
      </w:tr>
      <w:tr>
        <w:trPr>
          <w:trHeight w:val="640"/>
        </w:trPr>
        <w:tc>
          <w:tcPr>
            <w:tcW w:w="57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小计</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财政拨款收入</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财政专户收入</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事业收入</w:t>
            </w: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经营收入</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上级补助收入</w:t>
            </w: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附属单位上缴收入</w:t>
            </w: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其他收入</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center"/>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tbl>
      <w:tblPr>
        <w:jc w:val="left"/>
        <w:tblInd w:w="0" w:type="dxa"/>
        <w:tblW w:w="14700"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838"/>
        <w:gridCol w:w="1101"/>
        <w:gridCol w:w="3209"/>
        <w:gridCol w:w="1357"/>
        <w:gridCol w:w="1350"/>
        <w:gridCol w:w="1391"/>
        <w:gridCol w:w="1704"/>
        <w:gridCol w:w="1868"/>
        <w:gridCol w:w="1882"/>
      </w:tblGrid>
      <w:tr>
        <w:trPr>
          <w:trHeight w:val="740"/>
        </w:trPr>
        <w:tc>
          <w:tcPr>
            <w:tcW w:w="147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部门预算支出总表</w:t>
            </w:r>
          </w:p>
        </w:tc>
      </w:tr>
      <w:tr>
        <w:trPr>
          <w:trHeight w:val="420"/>
        </w:trPr>
        <w:tc>
          <w:tcPr>
            <w:tcW w:w="7855"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3095"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750"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83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31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135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3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139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c>
          <w:tcPr>
            <w:tcW w:w="170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经营支出</w:t>
            </w:r>
          </w:p>
        </w:tc>
        <w:tc>
          <w:tcPr>
            <w:tcW w:w="186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上缴上级支出</w:t>
            </w:r>
          </w:p>
        </w:tc>
        <w:tc>
          <w:tcPr>
            <w:tcW w:w="1882"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对附属单位补助支出</w:t>
            </w:r>
          </w:p>
        </w:tc>
      </w:tr>
      <w:tr>
        <w:trPr>
          <w:trHeight w:val="300"/>
        </w:trPr>
        <w:tc>
          <w:tcPr>
            <w:tcW w:w="83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35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3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3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70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86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88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tbl>
      <w:tblPr>
        <w:jc w:val="left"/>
        <w:tblInd w:w="0" w:type="dxa"/>
        <w:tblW w:w="14782"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2918"/>
        <w:gridCol w:w="1596"/>
        <w:gridCol w:w="2986"/>
        <w:gridCol w:w="1732"/>
        <w:gridCol w:w="1582"/>
        <w:gridCol w:w="1691"/>
        <w:gridCol w:w="1527"/>
      </w:tblGrid>
      <w:tr>
        <w:trPr>
          <w:trHeight w:val="750"/>
        </w:trPr>
        <w:tc>
          <w:tcPr>
            <w:tcW w:w="14782"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部门预算财政拨款收支总表</w:t>
            </w:r>
          </w:p>
        </w:tc>
      </w:tr>
      <w:tr>
        <w:trPr>
          <w:trHeight w:val="300"/>
        </w:trPr>
        <w:tc>
          <w:tcPr>
            <w:tcW w:w="825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3314"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218"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514"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w:t>
            </w:r>
          </w:p>
        </w:tc>
        <w:tc>
          <w:tcPr>
            <w:tcW w:w="951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w:t>
            </w:r>
          </w:p>
        </w:tc>
      </w:tr>
      <w:tr>
        <w:trPr>
          <w:trHeight w:val="6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政府性基金预算财政拨款</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一、一般公共服务支出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二、外交支出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三、国防支出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四、公共安全支出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五、教育支出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六、科学技术支出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七、文化旅游体育与传媒支出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八、社会保障和就业支出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九、社会保险基金支出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十、卫生健康支出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十一、节能环保支出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十二、城乡社区支出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十三、农林水支出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十四、交通运输支出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十五、资源勘探工业信息等支出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十六、商业服务业等支出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十七、金融支出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十八、援助其他地区支出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十九、自然资源海洋气象等支出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二十、住房保障支出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二十一、粮油物资储备支出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二十二、国有资本经营预算支出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二十三、灾害防治及应急管理支出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二十四、预备费</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二十五、其他支出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二十六、转移性支出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二十七、债务还本支出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二十八、债务付息支出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二十九、债务发行费用支出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三十、抗疫特别国债安排的支出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本年收入合计</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年初财政拨款结转和结余</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年末财政拨款结转和结余</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收入总计</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支出总计</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p/>
    <w:p/>
    <w:p/>
    <w:p/>
    <w:tbl>
      <w:tblPr>
        <w:jc w:val="left"/>
        <w:tblInd w:w="0" w:type="dxa"/>
        <w:tblW w:w="14727"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1725"/>
        <w:gridCol w:w="3000"/>
        <w:gridCol w:w="1739"/>
        <w:gridCol w:w="1677"/>
        <w:gridCol w:w="1718"/>
        <w:gridCol w:w="2196"/>
        <w:gridCol w:w="1922"/>
      </w:tblGrid>
      <w:tr>
        <w:trPr>
          <w:trHeight w:val="750"/>
        </w:trPr>
        <w:tc>
          <w:tcPr>
            <w:tcW w:w="14727"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部门预算一般公共预算财政拨款支出表</w:t>
            </w:r>
          </w:p>
        </w:tc>
      </w:tr>
      <w:tr>
        <w:trPr>
          <w:trHeight w:val="300"/>
        </w:trPr>
        <w:tc>
          <w:tcPr>
            <w:tcW w:w="8891"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3914"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1922"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72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173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559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3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73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小计</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人员经费</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公用经费</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center"/>
              <w:rPr>
                <w:rFonts w:ascii="宋体" w:eastAsia="宋体" w:cs="宋体" w:hAnsi="宋体"/>
                <w:color w:val="000000"/>
                <w:sz w:val="18"/>
                <w:szCs w:val="18"/>
              </w:rPr>
            </w:pPr>
          </w:p>
        </w:tc>
      </w:tr>
      <w:tr>
        <w:trPr>
          <w:trHeight w:val="308"/>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94.11</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p/>
    <w:p/>
    <w:tbl>
      <w:tblPr>
        <w:jc w:val="left"/>
        <w:tblInd w:w="0" w:type="dxa"/>
        <w:tblW w:w="14755"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945"/>
        <w:gridCol w:w="2055"/>
        <w:gridCol w:w="3000"/>
        <w:gridCol w:w="3000"/>
        <w:gridCol w:w="3000"/>
        <w:gridCol w:w="2755"/>
      </w:tblGrid>
      <w:tr>
        <w:trPr>
          <w:trHeight w:val="750"/>
        </w:trPr>
        <w:tc>
          <w:tcPr>
            <w:tcW w:w="14755"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部门预算一般公共预算财政拨款基本支出表</w:t>
            </w:r>
          </w:p>
        </w:tc>
      </w:tr>
      <w:tr>
        <w:trPr>
          <w:trHeight w:val="300"/>
        </w:trPr>
        <w:tc>
          <w:tcPr>
            <w:tcW w:w="900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300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755"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94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支出部门经济分类科目</w:t>
            </w:r>
          </w:p>
        </w:tc>
        <w:tc>
          <w:tcPr>
            <w:tcW w:w="875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一般公共预算基本支出</w:t>
            </w:r>
          </w:p>
        </w:tc>
      </w:tr>
      <w:tr>
        <w:trPr>
          <w:trHeight w:val="300"/>
        </w:trPr>
        <w:tc>
          <w:tcPr>
            <w:tcW w:w="94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人员经费</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公用经费</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94.11</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77.88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77.88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38.31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38.31</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津贴补贴</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12.69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12.69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奖金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1.74</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绩效工资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城镇职工基本医疗保险缴费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其他社会保障缴费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0.39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办公费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公务用车运行维护费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其他交通费用</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0.10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退休费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2.65</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生活补助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奖励金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11.93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11.93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tbl>
      <w:tblPr>
        <w:jc w:val="left"/>
        <w:tblInd w:w="0" w:type="dxa"/>
        <w:tblW w:w="14673"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624"/>
        <w:gridCol w:w="3632"/>
        <w:gridCol w:w="3349"/>
        <w:gridCol w:w="2254"/>
        <w:gridCol w:w="2264"/>
        <w:gridCol w:w="2550"/>
      </w:tblGrid>
      <w:tr>
        <w:trPr>
          <w:trHeight w:val="915"/>
        </w:trPr>
        <w:tc>
          <w:tcPr>
            <w:tcW w:w="14673"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部门预算政府基金预算财政拨款支出表</w:t>
            </w:r>
          </w:p>
        </w:tc>
      </w:tr>
      <w:tr>
        <w:trPr>
          <w:trHeight w:val="435"/>
        </w:trPr>
        <w:tc>
          <w:tcPr>
            <w:tcW w:w="9859"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2264"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55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435"/>
        </w:trPr>
        <w:tc>
          <w:tcPr>
            <w:tcW w:w="62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698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225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26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25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825"/>
        </w:trPr>
        <w:tc>
          <w:tcPr>
            <w:tcW w:w="62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225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26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435"/>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58"/>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20"/>
        </w:trPr>
        <w:tc>
          <w:tcPr>
            <w:tcW w:w="62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632"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Times New Roman" w:eastAsia="宋体" w:cs="Times New Roman" w:hAnsi="Times New Roman"/>
                <w:color w:val="000000"/>
                <w:sz w:val="24"/>
              </w:rPr>
            </w:pPr>
            <w:r>
              <w:rPr>
                <w:rFonts w:ascii="Times New Roman" w:eastAsia="宋体" w:cs="Times New Roman" w:hAnsi="Times New Roman"/>
                <w:color w:val="000000"/>
                <w:kern w:val="0"/>
                <w:sz w:val="24"/>
              </w:rPr>
              <w:t>注：无政府基金预算，空表列示。</w:t>
            </w:r>
          </w:p>
        </w:tc>
        <w:tc>
          <w:tcPr>
            <w:tcW w:w="3349"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6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550"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r>
    </w:tbl>
    <w:p/>
    <w:p/>
    <w:p/>
    <w:p/>
    <w:p/>
    <w:p/>
    <w:p/>
    <w:p/>
    <w:p/>
    <w:p/>
    <w:tbl>
      <w:tblPr>
        <w:jc w:val="left"/>
        <w:tblInd w:w="0" w:type="dxa"/>
        <w:tblW w:w="14659"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990"/>
        <w:gridCol w:w="1455"/>
        <w:gridCol w:w="4275"/>
        <w:gridCol w:w="2417"/>
        <w:gridCol w:w="2563"/>
        <w:gridCol w:w="2959"/>
      </w:tblGrid>
      <w:tr>
        <w:trPr>
          <w:trHeight w:val="780"/>
        </w:trPr>
        <w:tc>
          <w:tcPr>
            <w:tcW w:w="14659"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部门预算国有资本经营预算财政拨款支出表</w:t>
            </w:r>
          </w:p>
        </w:tc>
      </w:tr>
      <w:tr>
        <w:trPr>
          <w:trHeight w:val="495"/>
        </w:trPr>
        <w:tc>
          <w:tcPr>
            <w:tcW w:w="9137"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2563"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959"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540"/>
        </w:trPr>
        <w:tc>
          <w:tcPr>
            <w:tcW w:w="9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573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241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6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295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760"/>
        </w:trPr>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241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6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95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540"/>
        </w:trPr>
        <w:tc>
          <w:tcPr>
            <w:tcW w:w="990" w:type="dxa"/>
            <w:tcBorders>
              <w:top w:val="nil"/>
              <w:left w:val="nil"/>
              <w:bottom w:val="nil"/>
              <w:right w:val="nil"/>
            </w:tcBorders>
            <w:shd w:val="clear" w:color="auto" w:fill="auto"/>
            <w:tcMar>
              <w:top w:w="15" w:type="dxa"/>
              <w:left w:w="15" w:type="dxa"/>
              <w:right w:w="15" w:type="dxa"/>
            </w:tcMar>
          </w:tcPr>
          <w:p>
            <w:pPr>
              <w:rPr>
                <w:rFonts w:ascii="宋体" w:eastAsia="宋体" w:cs="宋体" w:hAnsi="宋体"/>
                <w:color w:val="000000"/>
                <w:sz w:val="18"/>
                <w:szCs w:val="18"/>
              </w:rPr>
            </w:pPr>
          </w:p>
        </w:tc>
        <w:tc>
          <w:tcPr>
            <w:tcW w:w="13669" w:type="dxa"/>
            <w:gridSpan w:val="5"/>
            <w:tcBorders>
              <w:top w:val="single" w:sz="4" w:space="0" w:color="000000"/>
              <w:left w:val="nil"/>
              <w:bottom w:val="nil"/>
              <w:right w:val="nil"/>
            </w:tcBorders>
            <w:shd w:val="clear" w:color="auto" w:fill="auto"/>
            <w:tcMar>
              <w:top w:w="15" w:type="dxa"/>
              <w:left w:w="15" w:type="dxa"/>
              <w:right w:w="15" w:type="dxa"/>
            </w:tcMar>
            <w:vAlign w:val="center"/>
          </w:tcPr>
          <w:p>
            <w:pPr>
              <w:widowControl/>
              <w:jc w:val="left"/>
              <w:textAlignment w:val="center"/>
              <w:rPr>
                <w:rFonts w:ascii="方正仿宋_GBK" w:eastAsia="方正仿宋_GBK" w:cs="方正仿宋_GBK" w:hAnsi="方正仿宋_GBK"/>
                <w:color w:val="000000"/>
                <w:sz w:val="24"/>
              </w:rPr>
            </w:pPr>
            <w:r>
              <w:rPr>
                <w:rFonts w:ascii="方正仿宋_GBK" w:eastAsia="方正仿宋_GBK" w:cs="方正仿宋_GBK" w:hAnsi="方正仿宋_GBK"/>
                <w:color w:val="000000"/>
                <w:kern w:val="0"/>
                <w:sz w:val="24"/>
              </w:rPr>
              <w:t>注：无国有资本经营预算，空表列示。</w:t>
            </w:r>
          </w:p>
        </w:tc>
      </w:tr>
    </w:tbl>
    <w:p/>
    <w:p/>
    <w:p/>
    <w:p/>
    <w:p/>
    <w:p/>
    <w:p/>
    <w:tbl>
      <w:tblPr>
        <w:jc w:val="left"/>
        <w:tblInd w:w="0" w:type="dxa"/>
        <w:tblW w:w="14741"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3900"/>
        <w:gridCol w:w="2550"/>
        <w:gridCol w:w="2550"/>
        <w:gridCol w:w="2550"/>
        <w:gridCol w:w="2441"/>
      </w:tblGrid>
      <w:tr>
        <w:trPr>
          <w:trHeight w:val="750"/>
        </w:trPr>
        <w:tc>
          <w:tcPr>
            <w:tcW w:w="14741"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部门预算财政拨款“三公”经费支出表</w:t>
            </w:r>
          </w:p>
        </w:tc>
      </w:tr>
      <w:tr>
        <w:trPr>
          <w:trHeight w:val="600"/>
        </w:trPr>
        <w:tc>
          <w:tcPr>
            <w:tcW w:w="975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255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441"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54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390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资金性质</w:t>
            </w:r>
          </w:p>
        </w:tc>
      </w:tr>
      <w:tr>
        <w:trPr>
          <w:trHeight w:val="78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390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政府性基金财政拨款</w:t>
            </w: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一、因公出国（境）费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二、公务用车购置及运维费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 xml:space="preserve">    其中：公务用车购置费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 xml:space="preserve">          公务用车运行维护费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三、公务接待费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pPr>
      <w:r>
        <w:rPr>
          <w:rFonts w:ascii="方正小标宋_GBK" w:eastAsia="方正小标宋_GBK" w:cs="方正小标宋_GBK" w:hAnsi="方正小标宋_GBK"/>
          <w:color w:val="000000"/>
          <w:sz w:val="44"/>
        </w:rPr>
        <w:t>深泽县信访局202</w:t>
      </w:r>
      <w:r>
        <w:rPr>
          <w:rFonts w:ascii="方正小标宋_GBK" w:eastAsia="方正小标宋_GBK" w:cs="方正小标宋_GBK" w:hAnsi="方正小标宋_GBK" w:hint="eastAsia"/>
          <w:color w:val="000000"/>
          <w:sz w:val="44"/>
        </w:rPr>
        <w:t>1</w:t>
      </w:r>
      <w:r>
        <w:rPr>
          <w:rFonts w:ascii="方正小标宋_GBK" w:eastAsia="方正小标宋_GBK" w:cs="方正小标宋_GBK" w:hAnsi="方正小标宋_GBK"/>
          <w:color w:val="000000"/>
          <w:sz w:val="44"/>
        </w:rPr>
        <w:t>年部门预算信息公开情况说明</w:t>
      </w:r>
    </w:p>
    <w:p>
      <w:pPr>
        <w:spacing w:line="500" w:lineRule="exact"/>
        <w:ind w:firstLine="560"/>
      </w:pPr>
      <w:r>
        <w:rPr>
          <w:rFonts w:eastAsia="方正仿宋_GBK"/>
          <w:color w:val="000000"/>
          <w:sz w:val="28"/>
        </w:rPr>
        <w:t>按照《</w:t>
      </w:r>
      <w:r>
        <w:rPr>
          <w:rFonts w:ascii="方正仿宋_GBK" w:eastAsia="方正仿宋_GBK" w:cs="仿宋_GB2312"/>
          <w:sz w:val="28"/>
          <w:szCs w:val="32"/>
          <w:lang w:bidi="ar-SA"/>
        </w:rPr>
        <w:t>中华人民共和国</w:t>
      </w:r>
      <w:r>
        <w:rPr>
          <w:rFonts w:eastAsia="方正仿宋_GBK"/>
          <w:color w:val="000000"/>
          <w:sz w:val="28"/>
        </w:rPr>
        <w:t>预算法》、《地方预决算公开操作规程》和《关于进一步推进预算公开工作的实施意见》规定，现将深泽县信访局202</w:t>
      </w:r>
      <w:r>
        <w:rPr>
          <w:rFonts w:eastAsia="方正仿宋_GBK" w:hint="eastAsia"/>
          <w:color w:val="000000"/>
          <w:sz w:val="28"/>
        </w:rPr>
        <w:t>1</w:t>
      </w:r>
      <w:r>
        <w:rPr>
          <w:rFonts w:eastAsia="方正仿宋_GBK"/>
          <w:color w:val="000000"/>
          <w:sz w:val="28"/>
        </w:rPr>
        <w:t>年部门预算公开如下：</w:t>
      </w:r>
    </w:p>
    <w:p>
      <w:pPr>
        <w:spacing w:before="10" w:after="10" w:line="360" w:lineRule="auto"/>
        <w:ind w:firstLine="640"/>
        <w:outlineLvl w:val="2"/>
      </w:pPr>
      <w:bookmarkStart w:id="1" w:name="_Toc_3_3_0000000010"/>
      <w:r>
        <w:rPr>
          <w:rFonts w:ascii="黑体" w:eastAsia="黑体" w:cs="黑体" w:hAnsi="黑体"/>
          <w:color w:val="000000"/>
          <w:sz w:val="32"/>
        </w:rPr>
        <w:t>一、部门职责及机构设置情况</w:t>
      </w:r>
      <w:bookmarkEnd w:id="1"/>
    </w:p>
    <w:p>
      <w:pPr>
        <w:ind w:firstLine="640"/>
      </w:pPr>
      <w:r>
        <w:rPr>
          <w:rFonts w:ascii="方正楷体_GBK" w:eastAsia="方正楷体_GBK" w:cs="方正楷体_GBK" w:hAnsi="方正楷体_GBK"/>
          <w:b/>
          <w:color w:val="000000"/>
          <w:sz w:val="32"/>
        </w:rPr>
        <w:t>部门职责：</w:t>
      </w:r>
    </w:p>
    <w:p>
      <w:pPr>
        <w:pStyle w:val="17"/>
      </w:pPr>
      <w:r>
        <w:t>（一）受理、交办、转送信访人提出的信访事项，告知信访人信访事项办理情况；</w:t>
      </w:r>
    </w:p>
    <w:p>
      <w:pPr>
        <w:pStyle w:val="17"/>
      </w:pPr>
      <w:r>
        <w:t>（二）承办上级和本级国家机关交办、转送的信访事项；</w:t>
      </w:r>
    </w:p>
    <w:p>
      <w:pPr>
        <w:pStyle w:val="17"/>
      </w:pPr>
      <w:r>
        <w:t>（三）协调、调度、检查、督促信访事项的受理、办理及处理意见的落实，提出改进工作,完善政策，追究责任的建议；</w:t>
      </w:r>
    </w:p>
    <w:p>
      <w:pPr>
        <w:pStyle w:val="17"/>
      </w:pPr>
      <w:r>
        <w:t>（四）研究、分析信访情况，开展调查研究，总结交流信访工作经验；</w:t>
      </w:r>
    </w:p>
    <w:p>
      <w:pPr>
        <w:pStyle w:val="17"/>
      </w:pPr>
      <w:r>
        <w:t>（五）征集、办理人民群众建议；</w:t>
      </w:r>
    </w:p>
    <w:p>
      <w:pPr>
        <w:pStyle w:val="17"/>
      </w:pPr>
      <w:r>
        <w:t>（六）宣传有关法律、法规、提供咨询，引导信访人依法、有序信访、逐级走访。</w:t>
      </w:r>
    </w:p>
    <w:p>
      <w:pPr>
        <w:pStyle w:val="17"/>
      </w:pPr>
      <w:r>
        <w:t>（七）承担县委 、县政府交办的其他任务。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部门机构设置情况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19"/>
              <w:rPr>
                <w:rFonts w:eastAsia="方正书宋_GBK" w:hint="eastAsia"/>
                <w:lang w:eastAsia="zh-CN"/>
              </w:rPr>
            </w:pPr>
            <w:r>
              <w:t>深泽县信访局</w:t>
            </w:r>
            <w:r>
              <w:rPr>
                <w:rFonts w:hint="eastAsia"/>
                <w:lang w:eastAsia="zh-CN"/>
              </w:rPr>
              <w:t>本级</w:t>
            </w:r>
          </w:p>
        </w:tc>
        <w:tc>
          <w:tcPr>
            <w:tcW w:w="1843" w:type="dxa"/>
            <w:tcBorders>
              <w:top w:val="single" w:sz="6" w:space="0" w:color="000000"/>
              <w:left w:val="single" w:sz="6" w:space="0" w:color="000000"/>
              <w:right w:val="single" w:sz="6" w:space="0" w:color="000000"/>
            </w:tcBorders>
            <w:vAlign w:val="center"/>
          </w:tcPr>
          <w:p>
            <w:pPr>
              <w:pStyle w:val="20"/>
            </w:pPr>
            <w:r>
              <w:t>行政</w:t>
            </w:r>
          </w:p>
        </w:tc>
        <w:tc>
          <w:tcPr>
            <w:tcW w:w="2126" w:type="dxa"/>
            <w:tcBorders>
              <w:top w:val="single" w:sz="6" w:space="0" w:color="000000"/>
              <w:left w:val="single" w:sz="6" w:space="0" w:color="000000"/>
              <w:right w:val="single" w:sz="6" w:space="0" w:color="000000"/>
            </w:tcBorders>
            <w:vAlign w:val="center"/>
          </w:tcPr>
          <w:p>
            <w:pPr>
              <w:pStyle w:val="20"/>
            </w:pPr>
            <w:r>
              <w:t>正科级</w:t>
            </w:r>
          </w:p>
        </w:tc>
        <w:tc>
          <w:tcPr>
            <w:tcW w:w="3827" w:type="dxa"/>
            <w:tcBorders>
              <w:top w:val="single" w:sz="6" w:space="0" w:color="000000"/>
              <w:left w:val="single" w:sz="6" w:space="0" w:color="000000"/>
              <w:right w:val="single" w:sz="6" w:space="0" w:color="000000"/>
            </w:tcBorders>
            <w:vAlign w:val="center"/>
          </w:tcPr>
          <w:p>
            <w:pPr>
              <w:pStyle w:val="20"/>
            </w:pPr>
            <w:r>
              <w:t>财政拨款</w:t>
            </w:r>
          </w:p>
        </w:tc>
      </w:tr>
    </w:tbl>
    <w:p>
      <w:pPr>
        <w:spacing w:before="10" w:after="10" w:line="360" w:lineRule="auto"/>
        <w:ind w:firstLine="640"/>
        <w:outlineLvl w:val="2"/>
      </w:pPr>
      <w:bookmarkStart w:id="2" w:name="_Toc_3_3_0000000011"/>
      <w:r>
        <w:rPr>
          <w:rFonts w:ascii="黑体" w:eastAsia="黑体" w:cs="黑体" w:hAnsi="黑体"/>
          <w:color w:val="000000"/>
          <w:sz w:val="32"/>
        </w:rPr>
        <w:t>二、部门预算安排的总体情况</w:t>
      </w:r>
      <w:bookmarkEnd w:id="2"/>
    </w:p>
    <w:p>
      <w:pPr>
        <w:pStyle w:val="21"/>
      </w:pPr>
      <w:r>
        <w:t>按照预算管理有关规定，目前我县部门预算的编制实行综合预算制度，即全部收入和支出都反映在预算中。深泽县信访局及所属事业单位的收支包含在部门预算中。</w:t>
      </w:r>
    </w:p>
    <w:p>
      <w:pPr>
        <w:pStyle w:val="21"/>
      </w:pPr>
      <w:r>
        <w:rPr>
          <w:rFonts w:hint="eastAsia"/>
        </w:rPr>
        <w:t xml:space="preserve">1、收入说明 </w:t>
      </w:r>
    </w:p>
    <w:p>
      <w:pPr>
        <w:pStyle w:val="21"/>
      </w:pPr>
      <w:r>
        <w:rPr>
          <w:rFonts w:hint="eastAsia"/>
        </w:rPr>
        <w:t>反映本部门当年全部收入，2021年预算收入191.43万元，其中：一般公共预算收入191.43万元、政府性基金收入0万元、国有资本经营预算收入0万元、财政专户核拨收入0万元，其他来源收入0万元。</w:t>
      </w:r>
    </w:p>
    <w:p>
      <w:pPr>
        <w:pStyle w:val="21"/>
      </w:pPr>
      <w:r>
        <w:rPr>
          <w:rFonts w:hint="eastAsia"/>
        </w:rPr>
        <w:t>支出说明</w:t>
      </w:r>
    </w:p>
    <w:p>
      <w:pPr>
        <w:pStyle w:val="21"/>
      </w:pPr>
      <w:r>
        <w:rPr>
          <w:rFonts w:hint="eastAsia"/>
        </w:rPr>
        <w:t>收支预算总表支出栏、基本支出表、项目支出表按经济分类和支出功能分类科目编制，反映深泽县信访局年度部门预算中支出预算的总体情况。2021年部门支出预算为191.43万元，其中基本支出101.11万元，包括人员经费94.11万元和日常公用经费7万元；项目支出90.32万元，主要为信访问题处理50万元，信访事务管理20万元,选岗人员工资及保险20.32万元。</w:t>
      </w:r>
    </w:p>
    <w:p>
      <w:pPr>
        <w:pStyle w:val="21"/>
      </w:pPr>
      <w:r>
        <w:rPr>
          <w:rFonts w:hint="eastAsia"/>
        </w:rPr>
        <w:t>3、比上年增减情况</w:t>
      </w:r>
    </w:p>
    <w:p>
      <w:pPr>
        <w:pStyle w:val="21"/>
      </w:pPr>
      <w:r>
        <w:rPr>
          <w:rFonts w:hint="eastAsia"/>
        </w:rPr>
        <w:t>2021年部门预算收支安排191.43万元，较2020年增加13.14万元，其中：基本支出减少7.18万元，主要是人员减少，相应减少人员经费和日常公用经费；项目支出增加20.32万元,主要是由于项目调整。</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三、机关运行经费安排情况</w:t>
      </w:r>
    </w:p>
    <w:p>
      <w:pPr>
        <w:pStyle w:val="21"/>
      </w:pPr>
      <w:r>
        <w:rPr>
          <w:rFonts w:eastAsia="仿宋" w:hint="eastAsia"/>
          <w:sz w:val="32"/>
          <w:szCs w:val="32"/>
        </w:rPr>
        <w:t>2</w:t>
      </w:r>
      <w:r>
        <w:rPr>
          <w:rFonts w:hint="eastAsia"/>
        </w:rPr>
        <w:t>021年度机关运行经费预算7万元,主要用于保证机关正常运转的办公费、公务用车运行维护费、 其他交通费用、其他商品和服务支出等支出。</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四、财政拨款“三公”经费预算情况及增减变化原因</w:t>
      </w:r>
    </w:p>
    <w:p>
      <w:pPr>
        <w:pStyle w:val="21"/>
      </w:pPr>
      <w:r>
        <w:rPr>
          <w:rFonts w:hint="eastAsia"/>
        </w:rPr>
        <w:t>2021年，我部门财政拨款“三公”经费预算安排1万元，与上年持平，无增减变化。其中，因公出国（境）费0万元，与上年持平，无增减变化，主要原因为年初没有安排因公出国费；公务用车购置及运行维护费1万元(其中公务用车购置0万元，公务用车运行维护费1万元），与上年持平，无增减变化，主要原因为厉行节约；公务接待费0万元，与上年持平，无增减变化，主要原因为年初没有安排公务接待费。</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五、绩效预算信息：</w:t>
      </w:r>
    </w:p>
    <w:p>
      <w:pPr>
        <w:ind w:firstLineChars="200" w:firstLine="560"/>
        <w:jc w:val="left"/>
        <w:rPr>
          <w:rFonts w:eastAsia="方正仿宋_GBK"/>
          <w:b/>
          <w:sz w:val="32"/>
          <w:szCs w:val="32"/>
        </w:rPr>
      </w:pPr>
      <w:r>
        <w:rPr>
          <w:rFonts w:ascii="方正黑体_GBK" w:eastAsia="方正黑体_GBK" w:hint="eastAsia"/>
          <w:sz w:val="28"/>
        </w:rPr>
        <w:t xml:space="preserve"> </w:t>
      </w:r>
      <w:r>
        <w:rPr>
          <w:rFonts w:eastAsia="方正仿宋_GBK" w:hint="eastAsia"/>
          <w:b/>
          <w:sz w:val="32"/>
          <w:szCs w:val="32"/>
        </w:rPr>
        <w:t>第一部分  部门整体绩效目标</w:t>
      </w:r>
    </w:p>
    <w:p>
      <w:pPr>
        <w:pStyle w:val="21"/>
      </w:pPr>
      <w:r>
        <w:rPr>
          <w:rFonts w:hint="eastAsia"/>
        </w:rPr>
        <w:t>（一）总体绩效目标</w:t>
      </w:r>
    </w:p>
    <w:p>
      <w:pPr>
        <w:pStyle w:val="21"/>
      </w:pPr>
      <w:r>
        <w:rPr>
          <w:rFonts w:hint="eastAsia"/>
        </w:rPr>
        <w:t>1、信访事项办理“三率”（及信访事项及时受理率、按时答复率、群众满意率）在上年基础上稳步、提升，在全市排位达到中上游水平。</w:t>
      </w:r>
    </w:p>
    <w:p>
      <w:pPr>
        <w:pStyle w:val="21"/>
      </w:pPr>
      <w:r>
        <w:rPr>
          <w:rFonts w:hint="eastAsia"/>
        </w:rPr>
        <w:t>2、加强信访积案办理力度，“三访”（即进京“非访”、进京集体访、赴省集体访）量较上年有大幅下降。</w:t>
      </w:r>
    </w:p>
    <w:p>
      <w:pPr>
        <w:pStyle w:val="21"/>
      </w:pPr>
      <w:r>
        <w:rPr>
          <w:rFonts w:hint="eastAsia"/>
        </w:rPr>
        <w:t>3、做好重大会议和活动期间信访稳定值勤工作，妥善处置突发性、群体性信访事件，畅通信访渠道，提高信访事项办理质量和效率。</w:t>
      </w:r>
    </w:p>
    <w:p>
      <w:pPr>
        <w:pStyle w:val="21"/>
      </w:pPr>
      <w:r>
        <w:rPr>
          <w:rFonts w:hint="eastAsia"/>
        </w:rPr>
        <w:t>4、县群众工作中心有效运转，初信初访能够得到及时处理。完成县委、县政府以及上级信访机关交办的其他任务。</w:t>
      </w:r>
    </w:p>
    <w:p>
      <w:pPr>
        <w:pStyle w:val="21"/>
      </w:pPr>
      <w:r>
        <w:rPr>
          <w:rFonts w:hint="eastAsia"/>
        </w:rP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21"/>
      </w:pPr>
      <w:r>
        <w:rPr>
          <w:rFonts w:hint="eastAsia"/>
        </w:rPr>
        <w:t>6、协助上级信访机关处理深泽县群众进京上访工作，综合协调处理跨地区、跨部门、跨行业的重要信访问题，协助公安机关维护县委、县政府机关正常工作秩序。</w:t>
      </w:r>
    </w:p>
    <w:p>
      <w:pPr>
        <w:pStyle w:val="21"/>
      </w:pPr>
      <w:r>
        <w:rPr>
          <w:rFonts w:hint="eastAsia"/>
        </w:rPr>
        <w:t>（二）分项绩效目标</w:t>
      </w:r>
    </w:p>
    <w:p>
      <w:pPr>
        <w:pStyle w:val="21"/>
      </w:pPr>
      <w:r>
        <w:rPr>
          <w:rFonts w:hint="eastAsia"/>
        </w:rPr>
        <w:t>一、信访业务办理工作</w:t>
      </w:r>
    </w:p>
    <w:p>
      <w:pPr>
        <w:pStyle w:val="21"/>
      </w:pPr>
      <w:r>
        <w:rPr>
          <w:rFonts w:hint="eastAsia"/>
        </w:rPr>
        <w:t>绩效目标：畅通信访渠道，减少信访案件，规范信访事项办理、终结。维护社会和谐稳定。</w:t>
      </w:r>
    </w:p>
    <w:p>
      <w:pPr>
        <w:pStyle w:val="21"/>
      </w:pPr>
      <w:r>
        <w:rPr>
          <w:rFonts w:hint="eastAsia"/>
        </w:rPr>
        <w:t>绩效指标：信访事项受理及时率，优90%以上，良80%-90%，中60%-80%，差60%以下</w:t>
      </w:r>
    </w:p>
    <w:p>
      <w:pPr>
        <w:pStyle w:val="21"/>
      </w:pPr>
      <w:r>
        <w:rPr>
          <w:rFonts w:hint="eastAsia"/>
        </w:rPr>
        <w:t>二、处置非访、突发性及群体性事件工作</w:t>
      </w:r>
    </w:p>
    <w:p>
      <w:pPr>
        <w:pStyle w:val="21"/>
      </w:pPr>
      <w:r>
        <w:rPr>
          <w:rFonts w:hint="eastAsia"/>
        </w:rPr>
        <w:t>绩效目标：妥善处置非正常访，维护社会大局和谐稳定。</w:t>
      </w:r>
    </w:p>
    <w:p>
      <w:pPr>
        <w:pStyle w:val="21"/>
      </w:pPr>
      <w:r>
        <w:rPr>
          <w:rFonts w:hint="eastAsia"/>
        </w:rPr>
        <w:t>绩效指标：信访事项按期结案率优90%以上，良80%-90%，中60%-80%，差60%以下</w:t>
      </w:r>
    </w:p>
    <w:p>
      <w:pPr>
        <w:pStyle w:val="21"/>
      </w:pPr>
      <w:r>
        <w:rPr>
          <w:rFonts w:hint="eastAsia"/>
        </w:rPr>
        <w:t>三、其他综合事务管理工作</w:t>
      </w:r>
    </w:p>
    <w:p>
      <w:pPr>
        <w:pStyle w:val="21"/>
      </w:pPr>
      <w:r>
        <w:rPr>
          <w:rFonts w:hint="eastAsia"/>
        </w:rPr>
        <w:t>绩效目标：进一步提高信访干部业务能力；吸收可行建议，改进信访工作；提高信访信息化应用水平。保障机要邮件正常传递和信访群众服务中心正常运转；确保会议正常召开。</w:t>
      </w:r>
    </w:p>
    <w:p>
      <w:pPr>
        <w:pStyle w:val="21"/>
      </w:pPr>
      <w:r>
        <w:rPr>
          <w:rFonts w:hint="eastAsia"/>
        </w:rPr>
        <w:t>绩效指标：其他各项综合实务工作完成率优90%以上，良80%-90%，中60%-80%，差60%以下</w:t>
      </w:r>
    </w:p>
    <w:p>
      <w:pPr>
        <w:pStyle w:val="21"/>
      </w:pPr>
      <w:r>
        <w:rPr>
          <w:rFonts w:hint="eastAsia"/>
        </w:rPr>
        <w:t>(三）工作保障措施</w:t>
      </w:r>
    </w:p>
    <w:p>
      <w:pPr>
        <w:pStyle w:val="21"/>
      </w:pPr>
      <w:r>
        <w:rPr>
          <w:rFonts w:hint="eastAsia"/>
        </w:rPr>
        <w:t>一、完善制度建设。本单位制定完善了预算绩效管理制度、资金管理办法、工作保障制度等，为全年预算绩效目标的实现奠定制度基础。</w:t>
      </w:r>
    </w:p>
    <w:p>
      <w:pPr>
        <w:pStyle w:val="21"/>
      </w:pPr>
      <w:r>
        <w:rPr>
          <w:rFonts w:hint="eastAsia"/>
        </w:rPr>
        <w:t>二、加强支出管理。本单位通过优化支出结构、编细编实预算、加快履行政府采购手续、尽快启动项目、及时支付资金、前细化代编预算、按规定及时下达资金等多种措施，确保支出进度达标。</w:t>
      </w:r>
    </w:p>
    <w:p>
      <w:pPr>
        <w:pStyle w:val="21"/>
      </w:pPr>
      <w:r>
        <w:rPr>
          <w:rFonts w:hint="eastAsia"/>
        </w:rPr>
        <w:t>三、加强绩效运行监控。本单位按要求开展绩效运行监控，发现问题及时采取措施，确保绩效目标如期保质实现。</w:t>
      </w:r>
    </w:p>
    <w:p>
      <w:pPr>
        <w:pStyle w:val="21"/>
      </w:pPr>
      <w:r>
        <w:rPr>
          <w:rFonts w:hint="eastAsia"/>
        </w:rPr>
        <w:t>四、做好绩效自评。本单位按要求开展上年度部门预算绩效自评和重点评价工作，对评价中发现的问题及时整改，调整优化支出结构，提高财政资金使用效益。</w:t>
      </w:r>
    </w:p>
    <w:p>
      <w:pPr>
        <w:pStyle w:val="21"/>
      </w:pPr>
      <w:r>
        <w:rPr>
          <w:rFonts w:hint="eastAsia"/>
        </w:rPr>
        <w:t>五、规范财务资产管理。本单位完善财务管理制度，严格审批程序，加强固定资产登记、使用和报废处置管理，做到支出合理，物尽其用。</w:t>
      </w:r>
    </w:p>
    <w:p>
      <w:pPr>
        <w:pStyle w:val="21"/>
      </w:pPr>
      <w:r>
        <w:rPr>
          <w:rFonts w:hint="eastAsia"/>
        </w:rPr>
        <w:t>六、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1"/>
      </w:pPr>
      <w:r>
        <w:rPr>
          <w:rFonts w:hint="eastAsia"/>
        </w:rPr>
        <w:t>七、加强宣传培训调研等。本单位加强了人员培训，提高了本部门职工业务素质；加强调研，提出优化财政资金配置、提高资金使用效益的意见意见；加大宣传力度，强化预算绩效管理意识，促进预算绩效管理水平进一步提升。</w:t>
      </w:r>
    </w:p>
    <w:p>
      <w:pPr>
        <w:pStyle w:val="21"/>
      </w:pPr>
    </w:p>
    <w:p>
      <w:pPr>
        <w:numPr>
          <w:ilvl w:val="0"/>
          <w:numId w:val="1"/>
        </w:numPr>
        <w:ind w:left="0" w:firstLine="640"/>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 xml:space="preserve"> 专项资金绩效目标</w:t>
      </w:r>
    </w:p>
    <w:p>
      <w:pPr>
        <w:pStyle w:val="23"/>
      </w:pPr>
    </w:p>
    <w:p>
      <w:pPr>
        <w:pStyle w:val="23"/>
        <w:sectPr>
          <w:pgSz w:w="16840" w:h="11900" w:orient="landscape"/>
          <w:pgMar w:top="1361" w:right="1020" w:bottom="1361" w:left="1020" w:header="720" w:footer="720" w:gutter="0"/>
          <w:docGrid w:linePitch="312" w:charSpace="0"/>
        </w:sectPr>
      </w:pPr>
      <w:r>
        <w:rPr>
          <w:rFonts w:hint="eastAsia"/>
        </w:rPr>
        <w:t>我部门无专项资金。</w:t>
      </w:r>
    </w:p>
    <w:p>
      <w:pPr>
        <w:pStyle w:val="21"/>
      </w:pPr>
    </w:p>
    <w:p>
      <w:pPr>
        <w:pStyle w:val="21"/>
      </w:pPr>
    </w:p>
    <w:p>
      <w:pPr>
        <w:ind w:firstLine="640"/>
        <w:sectPr>
          <w:pgSz w:w="16840" w:h="11900" w:orient="landscape"/>
          <w:pgMar w:top="1361" w:right="1020" w:bottom="1134" w:left="1020" w:header="720" w:footer="720" w:gutter="0"/>
          <w:docGrid w:linePitch="312" w:charSpace="0"/>
        </w:sectPr>
      </w:pPr>
      <w:r>
        <w:rPr>
          <w:rFonts w:ascii="方正楷体_GBK" w:eastAsia="方正楷体_GBK" w:cs="方正楷体_GBK" w:hAnsi="方正楷体_GBK"/>
          <w:b/>
          <w:color w:val="000000"/>
          <w:sz w:val="32"/>
        </w:rPr>
        <w:t>第三部分  预算项目绩效目标</w:t>
      </w:r>
    </w:p>
    <w:p>
      <w:pPr>
        <w:pStyle w:val="21"/>
        <w:rPr>
          <w:rFonts w:ascii="方正仿宋_GBK"/>
          <w:b/>
        </w:rPr>
      </w:pPr>
      <w:bookmarkStart w:id="3" w:name="_Toc66869912"/>
      <w:r>
        <w:rPr>
          <w:rFonts w:ascii="方正仿宋_GBK" w:hint="eastAsia"/>
          <w:b/>
        </w:rPr>
        <w:t>1.京、省、市信访值班费绩效目标表</w:t>
      </w:r>
      <w:bookmarkEnd w:id="3"/>
    </w:p>
    <w:tbl>
      <w:tblPr>
        <w:tblpPr w:leftFromText="180" w:rightFromText="180" w:vertAnchor="text" w:horzAnchor="page" w:tblpX="1728" w:tblpY="96"/>
        <w:tblOverlap w:val="never"/>
        <w:tblW w:w="1416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834"/>
        <w:gridCol w:w="2494"/>
        <w:gridCol w:w="1276"/>
        <w:gridCol w:w="4480"/>
        <w:gridCol w:w="1732"/>
        <w:gridCol w:w="2345"/>
      </w:tblGrid>
      <w:tr>
        <w:trPr>
          <w:cantSplit/>
          <w:trHeight w:val="397"/>
          <w:tblHeader/>
        </w:trPr>
        <w:tc>
          <w:tcPr>
            <w:tcW w:w="1834"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2327" w:type="dxa"/>
            <w:gridSpan w:val="5"/>
            <w:vAlign w:val="center"/>
          </w:tcPr>
          <w:p>
            <w:pPr>
              <w:spacing w:line="300" w:lineRule="exact"/>
              <w:jc w:val="left"/>
              <w:rPr>
                <w:rFonts w:ascii="方正书宋_GBK" w:eastAsia="方正书宋_GBK"/>
                <w:b/>
              </w:rPr>
            </w:pPr>
            <w:r>
              <w:rPr>
                <w:rFonts w:ascii="方正书宋_GBK" w:eastAsia="方正书宋_GBK"/>
              </w:rPr>
              <w:t>1.</w:t>
            </w:r>
            <w:r>
              <w:rPr>
                <w:rFonts w:ascii="方正书宋_GBK" w:eastAsia="方正书宋_GBK" w:hint="eastAsia"/>
              </w:rPr>
              <w:t>妥善处置非正常访，做好信访维稳值班，维护社会的和谐稳定。</w:t>
            </w:r>
          </w:p>
        </w:tc>
      </w:tr>
      <w:tr>
        <w:trPr>
          <w:cantSplit/>
          <w:trHeight w:val="397"/>
          <w:tblHeader/>
        </w:trPr>
        <w:tc>
          <w:tcPr>
            <w:tcW w:w="18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49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127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4480"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173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234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834"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督办信访案件数量</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逐年增加</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信访事项按期结案率</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已按期办结的案件数量占案件总数的比例</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信访事项受理及时率</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及时受理信访事项数量占信访事项数量的比例</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按政策执行</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维护社会的和谐稳定</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妥善处置非访、突发性群体事件</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信访群众满意度</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反映信访群众满意度</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bl>
    <w:p>
      <w:pPr>
        <w:pStyle w:val="21"/>
        <w:ind w:firstLine="0"/>
        <w:rPr>
          <w:rFonts w:ascii="方正仿宋_GBK"/>
          <w:b/>
        </w:rPr>
      </w:pPr>
    </w:p>
    <w:p>
      <w:pPr>
        <w:spacing w:line="14" w:lineRule="exact"/>
        <w:jc w:val="center"/>
        <w:rPr>
          <w:rFonts w:hAnsi="宋体"/>
        </w:rPr>
      </w:pPr>
      <w:r>
        <w:rPr>
          <w:rFonts w:ascii="方正书宋_GBK" w:eastAsia="方正书宋_GBK"/>
        </w:rPr>
        <w:t xml:space="preserve"> </w:t>
      </w: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rPr>
          <w:rFonts w:ascii="方正仿宋_GBK"/>
          <w:b/>
        </w:rPr>
      </w:pPr>
      <w:bookmarkStart w:id="4" w:name="_Toc66869913"/>
      <w:r>
        <w:rPr>
          <w:rFonts w:ascii="方正仿宋_GBK" w:hint="eastAsia"/>
          <w:b/>
        </w:rPr>
        <w:t>2.选岗人员工资及保险绩效目标表</w:t>
      </w:r>
      <w:bookmarkEnd w:id="4"/>
    </w:p>
    <w:tbl>
      <w:tblPr>
        <w:tblpPr w:leftFromText="180" w:rightFromText="180" w:vertAnchor="text" w:horzAnchor="page" w:tblpX="1755" w:tblpY="110"/>
        <w:tblOverlap w:val="never"/>
        <w:tblW w:w="141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39"/>
        <w:gridCol w:w="2277"/>
        <w:gridCol w:w="2045"/>
        <w:gridCol w:w="3150"/>
        <w:gridCol w:w="3205"/>
        <w:gridCol w:w="2032"/>
      </w:tblGrid>
      <w:tr>
        <w:trPr>
          <w:cantSplit/>
          <w:trHeight w:val="397"/>
          <w:tblHeader/>
        </w:trPr>
        <w:tc>
          <w:tcPr>
            <w:tcW w:w="1439"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2709" w:type="dxa"/>
            <w:gridSpan w:val="5"/>
            <w:vAlign w:val="center"/>
          </w:tcPr>
          <w:p>
            <w:pPr>
              <w:spacing w:line="300" w:lineRule="exact"/>
              <w:jc w:val="left"/>
              <w:rPr>
                <w:rFonts w:ascii="方正书宋_GBK" w:eastAsia="方正书宋_GBK"/>
                <w:b/>
              </w:rPr>
            </w:pPr>
            <w:r>
              <w:rPr>
                <w:rFonts w:ascii="方正书宋_GBK" w:eastAsia="方正书宋_GBK"/>
              </w:rPr>
              <w:t>1.</w:t>
            </w:r>
            <w:r>
              <w:rPr>
                <w:rFonts w:ascii="方正书宋_GBK" w:eastAsia="方正书宋_GBK" w:hint="eastAsia"/>
              </w:rPr>
              <w:t>保证本单位人员经费全部到位，各项业务顺利进行。</w:t>
            </w:r>
          </w:p>
        </w:tc>
      </w:tr>
      <w:tr>
        <w:trPr>
          <w:cantSplit/>
          <w:trHeight w:val="397"/>
          <w:tblHeader/>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27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204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3150"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320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203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439"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应发工资人数</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本单位应发工资人数</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单位所有在职离退休人数</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缴纳社保费比例</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单位人员缴纳社保费比例</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合格</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支付及时率</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工资发放及社保费及时率</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rPr>
              <w:t>20.32</w:t>
            </w:r>
            <w:r>
              <w:rPr>
                <w:rFonts w:ascii="方正书宋_GBK" w:eastAsia="方正书宋_GBK" w:hint="eastAsia"/>
              </w:rPr>
              <w:t>万元</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可持续影响指标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项目能持续运行</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项目依据的政策能持续运行</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可持续</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历史依据</w:t>
            </w:r>
          </w:p>
        </w:tc>
      </w:tr>
      <w:tr>
        <w:trPr>
          <w:cantSplit/>
          <w:trHeight w:val="369"/>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服务对象满意的程度</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问卷调查</w:t>
            </w:r>
          </w:p>
        </w:tc>
      </w:tr>
    </w:tbl>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ind w:firstLine="0"/>
        <w:rPr>
          <w:rFonts w:ascii="方正仿宋_GBK"/>
          <w:b/>
        </w:rPr>
      </w:pPr>
    </w:p>
    <w:p>
      <w:pPr>
        <w:pStyle w:val="21"/>
        <w:numPr>
          <w:ilvl w:val="0"/>
          <w:numId w:val="2"/>
        </w:numPr>
        <w:ind w:left="0" w:firstLine="0"/>
        <w:rPr>
          <w:rFonts w:ascii="方正仿宋_GBK"/>
          <w:b/>
        </w:rPr>
      </w:pPr>
      <w:bookmarkStart w:id="5" w:name="_Toc66869914"/>
      <w:r>
        <w:rPr>
          <w:rFonts w:ascii="方正仿宋_GBK" w:hint="eastAsia"/>
          <w:b/>
        </w:rPr>
        <w:t>信访群众工作中心日常运转费绩效目标表</w:t>
      </w:r>
      <w:bookmarkEnd w:id="5"/>
    </w:p>
    <w:tbl>
      <w:tblPr>
        <w:tblpPr w:leftFromText="180" w:rightFromText="180" w:vertAnchor="text" w:horzAnchor="page" w:tblpX="1615" w:tblpY="97"/>
        <w:tblOverlap w:val="never"/>
        <w:tblW w:w="14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115"/>
        <w:gridCol w:w="2236"/>
        <w:gridCol w:w="3273"/>
        <w:gridCol w:w="3723"/>
        <w:gridCol w:w="2209"/>
        <w:gridCol w:w="1704"/>
      </w:tblGrid>
      <w:tr>
        <w:trPr>
          <w:cantSplit/>
          <w:trHeight w:val="397"/>
          <w:tblHeader/>
        </w:trPr>
        <w:tc>
          <w:tcPr>
            <w:tcW w:w="1115"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3145" w:type="dxa"/>
            <w:gridSpan w:val="5"/>
            <w:vAlign w:val="center"/>
          </w:tcPr>
          <w:p>
            <w:pPr>
              <w:spacing w:line="300" w:lineRule="exact"/>
              <w:jc w:val="left"/>
              <w:rPr>
                <w:rFonts w:ascii="方正书宋_GBK" w:eastAsia="方正书宋_GBK"/>
                <w:b/>
              </w:rPr>
            </w:pPr>
            <w:r>
              <w:rPr>
                <w:rFonts w:ascii="方正书宋_GBK" w:eastAsia="方正书宋_GBK" w:hint="eastAsia"/>
              </w:rPr>
              <w:t>保障信访群众工作中心日常运转</w:t>
            </w:r>
          </w:p>
        </w:tc>
      </w:tr>
      <w:tr>
        <w:trPr>
          <w:cantSplit/>
          <w:trHeight w:val="397"/>
          <w:tblHeader/>
        </w:trPr>
        <w:tc>
          <w:tcPr>
            <w:tcW w:w="111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23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327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372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220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170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115"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督办信访案件数量</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逐年增加</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信访事项按期结案率</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已按期办结的案件数量占案件总数的比例</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信访事项受理及时率</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及时受理信访事项数量占信访事项数量的比例</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按政策执行</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维护社会的和谐稳定</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妥善处置非访、突发性群体事件</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信访群众满意度</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反映信访群众满意度</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bl>
    <w:p>
      <w:pPr>
        <w:autoSpaceDE w:val="0"/>
        <w:autoSpaceDN w:val="0"/>
        <w:adjustRightInd w:val="0"/>
        <w:ind w:firstLineChars="200" w:firstLine="640"/>
        <w:jc w:val="left"/>
        <w:rPr>
          <w:rFonts w:ascii="黑体" w:eastAsia="黑体" w:hAnsi="黑体"/>
          <w:sz w:val="32"/>
          <w:szCs w:val="32"/>
        </w:rPr>
      </w:pP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六、政府采购预算情况</w:t>
      </w:r>
    </w:p>
    <w:p>
      <w:pPr>
        <w:pStyle w:val="21"/>
      </w:pPr>
      <w:bookmarkStart w:id="6" w:name="_Toc471398468"/>
      <w:r>
        <w:rPr>
          <w:rFonts w:hint="eastAsia"/>
        </w:rPr>
        <w:t>2021年我单位没有安排政府采购预算，政府采购预算金额为0万元。</w:t>
      </w:r>
      <w:bookmarkEnd w:id="6"/>
    </w:p>
    <w:p>
      <w:pPr>
        <w:jc w:val="center"/>
        <w:outlineLvl w:val="0"/>
        <w:rPr>
          <w:rFonts w:ascii="仿宋_GB2312" w:eastAsia="仿宋_GB2312" w:cs="Times New Roman" w:hAnsi="黑体"/>
          <w:sz w:val="32"/>
          <w:szCs w:val="32"/>
        </w:rPr>
      </w:pPr>
      <w:r>
        <w:rPr>
          <w:rFonts w:ascii="方正小标宋_GBK" w:eastAsia="方正小标宋_GBK" w:cs="Times New Roman" w:hAnsi="Times New Roman" w:hint="eastAsia"/>
          <w:sz w:val="32"/>
        </w:rPr>
        <w:t>政府采购预算情况表</w:t>
      </w:r>
    </w:p>
    <w:tbl>
      <w:tblPr>
        <w:jc w:val="center"/>
        <w:tblW w:w="137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23"/>
        <w:gridCol w:w="800"/>
        <w:gridCol w:w="1095"/>
        <w:gridCol w:w="1155"/>
        <w:gridCol w:w="675"/>
        <w:gridCol w:w="649"/>
        <w:gridCol w:w="885"/>
        <w:gridCol w:w="855"/>
        <w:gridCol w:w="840"/>
        <w:gridCol w:w="1185"/>
        <w:gridCol w:w="1020"/>
        <w:gridCol w:w="990"/>
        <w:gridCol w:w="870"/>
        <w:gridCol w:w="825"/>
      </w:tblGrid>
      <w:tr>
        <w:trPr>
          <w:tblHeader/>
        </w:trPr>
        <w:tc>
          <w:tcPr>
            <w:tcW w:w="7182"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center"/>
              <w:rPr>
                <w:rFonts w:ascii="方正书宋_GBK" w:eastAsia="方正书宋_GBK"/>
                <w:b/>
              </w:rPr>
            </w:pPr>
            <w:r>
              <w:rPr>
                <w:rFonts w:ascii="方正书宋_GBK" w:eastAsia="方正书宋_GBK" w:hint="eastAsia"/>
                <w:b/>
              </w:rPr>
              <w:t>542深泽县信访局</w:t>
            </w:r>
          </w:p>
        </w:tc>
        <w:tc>
          <w:tcPr>
            <w:tcW w:w="6585"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center"/>
              <w:rPr>
                <w:rFonts w:ascii="方正书宋_GBK" w:eastAsia="方正书宋_GBK"/>
                <w:b/>
              </w:rPr>
            </w:pPr>
            <w:r>
              <w:rPr>
                <w:rFonts w:ascii="方正书宋_GBK" w:eastAsia="方正书宋_GBK" w:hint="eastAsia"/>
                <w:b/>
              </w:rPr>
              <w:t>单位：万元</w:t>
            </w:r>
          </w:p>
        </w:tc>
      </w:tr>
      <w:tr>
        <w:trPr>
          <w:tblHeader/>
        </w:trPr>
        <w:tc>
          <w:tcPr>
            <w:tcW w:w="2723" w:type="dxa"/>
            <w:gridSpan w:val="2"/>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政府采购项目来源</w:t>
            </w:r>
          </w:p>
        </w:tc>
        <w:tc>
          <w:tcPr>
            <w:tcW w:w="109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采购物品名称</w:t>
            </w:r>
          </w:p>
        </w:tc>
        <w:tc>
          <w:tcPr>
            <w:tcW w:w="11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政府采购目录序号</w:t>
            </w:r>
          </w:p>
        </w:tc>
        <w:tc>
          <w:tcPr>
            <w:tcW w:w="67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649"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p>
        </w:tc>
        <w:tc>
          <w:tcPr>
            <w:tcW w:w="88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单价</w:t>
            </w:r>
          </w:p>
        </w:tc>
        <w:tc>
          <w:tcPr>
            <w:tcW w:w="6585" w:type="dxa"/>
            <w:gridSpan w:val="7"/>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政府采购金额</w:t>
            </w:r>
          </w:p>
        </w:tc>
      </w:tr>
      <w:tr>
        <w:trPr>
          <w:tblHeader/>
        </w:trPr>
        <w:tc>
          <w:tcPr>
            <w:tcW w:w="1923"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项目名称</w:t>
            </w:r>
          </w:p>
        </w:tc>
        <w:tc>
          <w:tcPr>
            <w:tcW w:w="800"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预算资金</w:t>
            </w: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总计</w:t>
            </w:r>
          </w:p>
        </w:tc>
        <w:tc>
          <w:tcPr>
            <w:tcW w:w="4905" w:type="dxa"/>
            <w:gridSpan w:val="5"/>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当年部门预算安排资金</w:t>
            </w:r>
          </w:p>
        </w:tc>
        <w:tc>
          <w:tcPr>
            <w:tcW w:w="82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其他渠道资金</w:t>
            </w:r>
          </w:p>
        </w:tc>
      </w:tr>
      <w:tr>
        <w:trPr>
          <w:tblHeader/>
        </w:trPr>
        <w:tc>
          <w:tcPr>
            <w:tcW w:w="1923" w:type="dxa"/>
            <w:vMerge/>
            <w:tcBorders>
              <w:top w:val="single" w:sz="6" w:space="0" w:color="000000"/>
              <w:left w:val="single" w:sz="6" w:space="0" w:color="000000"/>
              <w:bottom w:val="single" w:sz="6" w:space="0" w:color="000000"/>
              <w:right w:val="single" w:sz="6" w:space="0" w:color="000000"/>
            </w:tcBorders>
            <w:vAlign w:val="center"/>
          </w:tcPr>
          <w:p/>
        </w:tc>
        <w:tc>
          <w:tcPr>
            <w:tcW w:w="800" w:type="dxa"/>
            <w:vMerge/>
            <w:tcBorders>
              <w:top w:val="single" w:sz="6" w:space="0" w:color="000000"/>
              <w:left w:val="single" w:sz="6" w:space="0" w:color="000000"/>
              <w:bottom w:val="single" w:sz="6" w:space="0" w:color="000000"/>
              <w:right w:val="single" w:sz="6" w:space="0" w:color="000000"/>
            </w:tcBorders>
            <w:vAlign w:val="center"/>
          </w:tcP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tcBorders>
              <w:top w:val="single" w:sz="6" w:space="0" w:color="000000"/>
              <w:left w:val="single" w:sz="6" w:space="0" w:color="000000"/>
              <w:bottom w:val="single" w:sz="6" w:space="0" w:color="000000"/>
              <w:right w:val="single" w:sz="6" w:space="0" w:color="000000"/>
            </w:tcBorders>
            <w:vAlign w:val="center"/>
          </w:tc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合计</w:t>
            </w: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一般公共预算拨款</w:t>
            </w: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基金预算拨款</w:t>
            </w: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财政专户核拨</w:t>
            </w: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其他来源收入</w:t>
            </w:r>
          </w:p>
        </w:tc>
        <w:tc>
          <w:tcPr>
            <w:tcW w:w="825" w:type="dxa"/>
            <w:vMerge/>
            <w:tcBorders>
              <w:top w:val="single" w:sz="6" w:space="0" w:color="000000"/>
              <w:left w:val="single" w:sz="6" w:space="0" w:color="000000"/>
              <w:bottom w:val="single" w:sz="6" w:space="0" w:color="000000"/>
              <w:right w:val="single" w:sz="6" w:space="0" w:color="000000"/>
            </w:tcBorders>
            <w:vAlign w:val="center"/>
          </w:tcPr>
          <w:p/>
        </w:tc>
      </w:tr>
      <w:tr>
        <w:tc>
          <w:tcPr>
            <w:tcW w:w="1923"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Cs/>
              </w:rPr>
              <w:t>无</w:t>
            </w: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1155" w:type="dxa"/>
            <w:tcBorders>
              <w:top w:val="single" w:sz="6" w:space="0" w:color="000000"/>
              <w:left w:val="single" w:sz="6" w:space="0" w:color="000000"/>
              <w:bottom w:val="single" w:sz="6" w:space="0" w:color="000000"/>
              <w:right w:val="single" w:sz="6" w:space="0" w:color="000000"/>
            </w:tcBorders>
            <w:vAlign w:val="center"/>
          </w:tcPr>
          <w:p>
            <w:pPr>
              <w:widowControl/>
              <w:jc w:val="left"/>
              <w:textAlignment w:val="center"/>
              <w:rPr>
                <w:rFonts w:ascii="方正书宋_GBK" w:eastAsia="方正书宋_GBK"/>
                <w:b/>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r>
      <w:tr>
        <w:tc>
          <w:tcPr>
            <w:tcW w:w="1923"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11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r>
      <w:tr>
        <w:tc>
          <w:tcPr>
            <w:tcW w:w="1923"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11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r>
    </w:tbl>
    <w:p>
      <w:pPr>
        <w:autoSpaceDE w:val="0"/>
        <w:autoSpaceDN w:val="0"/>
        <w:adjustRightInd w:val="0"/>
        <w:jc w:val="left"/>
        <w:rPr>
          <w:rFonts w:eastAsia="仿宋"/>
          <w:sz w:val="28"/>
          <w:szCs w:val="28"/>
        </w:rPr>
      </w:pPr>
      <w:r>
        <w:rPr>
          <w:rFonts w:eastAsia="仿宋" w:hint="eastAsia"/>
          <w:sz w:val="28"/>
          <w:szCs w:val="28"/>
        </w:rPr>
        <w:t xml:space="preserve">    </w:t>
      </w:r>
      <w:r>
        <w:rPr>
          <w:rFonts w:eastAsia="方正仿宋_GBK" w:hint="eastAsia"/>
          <w:sz w:val="28"/>
        </w:rPr>
        <w:t>注：无政府采购预算安排，空表列示。</w:t>
      </w:r>
    </w:p>
    <w:p>
      <w:pPr>
        <w:spacing w:before="10" w:after="10"/>
        <w:ind w:firstLine="640"/>
        <w:outlineLvl w:val="2"/>
      </w:pPr>
      <w:bookmarkStart w:id="7" w:name="_Toc_3_3_0000000016"/>
      <w:r>
        <w:rPr>
          <w:rFonts w:ascii="黑体" w:eastAsia="黑体" w:cs="黑体" w:hAnsi="黑体"/>
          <w:color w:val="000000"/>
          <w:sz w:val="32"/>
        </w:rPr>
        <w:t>七、国有资产信息</w:t>
      </w:r>
      <w:bookmarkEnd w:id="7"/>
    </w:p>
    <w:p>
      <w:pPr>
        <w:pStyle w:val="21"/>
        <w:ind w:firstLineChars="200" w:firstLine="560"/>
        <w:rPr>
          <w:color w:val="000000"/>
        </w:rPr>
      </w:pPr>
      <w:r>
        <w:rPr>
          <w:color w:val="000000"/>
        </w:rPr>
        <w:t>深泽县信访局（含所属单位）上年末固定资产金额为43.67万元（详见下表）。本年度拟购置固定资产总额为0.00万元，已按要求列入政府采购预算，详见政府采购预算表。</w:t>
      </w:r>
    </w:p>
    <w:tbl>
      <w:tblPr>
        <w:tblpPr w:leftFromText="180" w:rightFromText="180" w:vertAnchor="text" w:horzAnchor="page" w:tblpX="1544" w:tblpY="31"/>
        <w:tblOverlap w:val="never"/>
        <w:tblW w:w="14263"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5401"/>
        <w:gridCol w:w="3155"/>
        <w:gridCol w:w="5707"/>
      </w:tblGrid>
      <w:tr>
        <w:trPr>
          <w:trHeight w:val="705"/>
        </w:trPr>
        <w:tc>
          <w:tcPr>
            <w:tcW w:w="14263" w:type="dxa"/>
            <w:gridSpan w:val="3"/>
            <w:tcBorders>
              <w:top w:val="nil"/>
              <w:left w:val="nil"/>
              <w:bottom w:val="nil"/>
              <w:right w:val="nil"/>
            </w:tcBorders>
            <w:vAlign w:val="center"/>
          </w:tcPr>
          <w:p>
            <w:pPr>
              <w:widowControl/>
              <w:jc w:val="center"/>
              <w:rPr>
                <w:rFonts w:ascii="仿宋" w:eastAsia="仿宋" w:cs="宋体" w:hAnsi="仿宋"/>
                <w:b/>
                <w:bCs/>
                <w:kern w:val="0"/>
                <w:sz w:val="32"/>
                <w:szCs w:val="32"/>
              </w:rPr>
            </w:pPr>
            <w:r>
              <w:rPr>
                <w:rFonts w:ascii="宋体" w:cs="宋体" w:hAnsi="宋体" w:hint="eastAsia"/>
                <w:b/>
                <w:bCs/>
                <w:kern w:val="0"/>
                <w:sz w:val="32"/>
                <w:szCs w:val="32"/>
              </w:rPr>
              <w:t>深泽县信访局固定资产占用情况表</w:t>
            </w:r>
          </w:p>
        </w:tc>
      </w:tr>
      <w:tr>
        <w:trPr>
          <w:trHeight w:val="510"/>
        </w:trPr>
        <w:tc>
          <w:tcPr>
            <w:tcW w:w="8556" w:type="dxa"/>
            <w:gridSpan w:val="2"/>
            <w:tcBorders>
              <w:top w:val="nil"/>
              <w:left w:val="nil"/>
              <w:bottom w:val="nil"/>
              <w:right w:val="nil"/>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编制部门：深泽县信访局</w:t>
            </w:r>
          </w:p>
        </w:tc>
        <w:tc>
          <w:tcPr>
            <w:tcW w:w="5707" w:type="dxa"/>
            <w:tcBorders>
              <w:top w:val="nil"/>
              <w:left w:val="nil"/>
              <w:bottom w:val="nil"/>
              <w:right w:val="nil"/>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 xml:space="preserve">截止时间：2020年12月31日  </w:t>
            </w:r>
          </w:p>
        </w:tc>
      </w:tr>
      <w:tr>
        <w:trPr>
          <w:trHeight w:val="645"/>
        </w:trPr>
        <w:tc>
          <w:tcPr>
            <w:tcW w:w="5401" w:type="dxa"/>
            <w:tcBorders>
              <w:top w:val="single" w:sz="4" w:space="0" w:color="auto"/>
              <w:left w:val="single" w:sz="4" w:space="0" w:color="auto"/>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项   目</w:t>
            </w:r>
          </w:p>
        </w:tc>
        <w:tc>
          <w:tcPr>
            <w:tcW w:w="3155" w:type="dxa"/>
            <w:tcBorders>
              <w:top w:val="single" w:sz="4" w:space="0" w:color="auto"/>
              <w:left w:val="nil"/>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数量</w:t>
            </w:r>
          </w:p>
        </w:tc>
        <w:tc>
          <w:tcPr>
            <w:tcW w:w="5707" w:type="dxa"/>
            <w:tcBorders>
              <w:top w:val="single" w:sz="4" w:space="0" w:color="auto"/>
              <w:left w:val="nil"/>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价值（金额单位：万元）</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资产总额</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43.67</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1、房屋（平方米）</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 xml:space="preserve">  其中：办公用房（平方米）</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2、车辆（台、辆）</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1</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10.28</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3、单价在20万元以上设备</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4、其他固定资产</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33.39</w:t>
            </w:r>
          </w:p>
        </w:tc>
      </w:tr>
    </w:tbl>
    <w:p>
      <w:pPr>
        <w:spacing w:before="10" w:after="10"/>
        <w:ind w:firstLine="640"/>
        <w:outlineLvl w:val="2"/>
        <w:rPr>
          <w:rFonts w:ascii="黑体" w:eastAsia="黑体" w:cs="黑体" w:hAnsi="黑体"/>
          <w:color w:val="000000"/>
          <w:sz w:val="32"/>
        </w:rPr>
      </w:pPr>
      <w:bookmarkStart w:id="8" w:name="_Toc_3_3_0000000017"/>
    </w:p>
    <w:p>
      <w:pPr>
        <w:spacing w:before="10" w:after="10"/>
        <w:ind w:firstLine="640"/>
        <w:outlineLvl w:val="2"/>
      </w:pPr>
      <w:r>
        <w:rPr>
          <w:rFonts w:ascii="黑体" w:eastAsia="黑体" w:cs="黑体" w:hAnsi="黑体"/>
          <w:color w:val="000000"/>
          <w:sz w:val="32"/>
        </w:rPr>
        <w:t>八、名词解释</w:t>
      </w:r>
      <w:bookmarkEnd w:id="8"/>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color w:val="000000"/>
          <w:sz w:val="28"/>
        </w:rPr>
        <w:t>县</w:t>
      </w:r>
      <w:r>
        <w:rPr>
          <w:rFonts w:eastAsia="方正仿宋_GBK"/>
          <w:color w:val="000000"/>
          <w:sz w:val="28"/>
        </w:rPr>
        <w:t>级财政预算管理的“三公”经费，是指</w:t>
      </w:r>
      <w:r>
        <w:rPr>
          <w:rFonts w:hint="eastAsia"/>
          <w:color w:val="000000"/>
          <w:sz w:val="28"/>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bookmarkStart w:id="9" w:name="_Toc_3_3_0000000018"/>
    </w:p>
    <w:p>
      <w:pPr>
        <w:spacing w:line="500" w:lineRule="exact"/>
        <w:ind w:firstLine="560"/>
      </w:pPr>
      <w:r>
        <w:rPr>
          <w:rFonts w:ascii="黑体" w:eastAsia="黑体" w:cs="黑体" w:hAnsi="黑体"/>
          <w:color w:val="000000"/>
          <w:sz w:val="32"/>
        </w:rPr>
        <w:t>九、其他需要说明的事项</w:t>
      </w:r>
      <w:bookmarkEnd w:id="9"/>
    </w:p>
    <w:p>
      <w:pPr>
        <w:spacing w:line="500" w:lineRule="exact"/>
        <w:ind w:firstLine="560"/>
        <w:rPr>
          <w:rFonts w:eastAsia="方正仿宋_GBK"/>
          <w:color w:val="000000"/>
          <w:sz w:val="28"/>
        </w:rPr>
      </w:pPr>
      <w:r>
        <w:rPr>
          <w:rFonts w:eastAsia="方正仿宋_GBK"/>
          <w:color w:val="000000"/>
          <w:sz w:val="28"/>
        </w:rPr>
        <w:t>我部门无其他需要说明的事项。</w:t>
      </w:r>
    </w:p>
    <w:p>
      <w:pPr>
        <w:spacing w:line="500" w:lineRule="exact"/>
        <w:ind w:firstLine="560"/>
        <w:rPr>
          <w:rFonts w:eastAsia="方正仿宋_GBK"/>
          <w:color w:val="000000"/>
          <w:sz w:val="28"/>
        </w:rPr>
      </w:pPr>
    </w:p>
    <w:p>
      <w:pPr>
        <w:spacing w:line="500" w:lineRule="exact"/>
        <w:ind w:firstLine="560"/>
        <w:rPr>
          <w:rFonts w:eastAsia="方正仿宋_GBK"/>
          <w:color w:val="000000"/>
          <w:sz w:val="28"/>
        </w:rPr>
        <w:sectPr>
          <w:pgSz w:w="16840" w:h="11900" w:orient="landscape"/>
          <w:pgMar w:top="1361" w:right="1020" w:bottom="1134" w:left="1020" w:header="720" w:footer="720" w:gutter="0"/>
          <w:docGrid w:linePitch="312" w:charSpace="0"/>
        </w:sectPr>
      </w:pPr>
    </w:p>
    <w:p>
      <w:pPr>
        <w:jc w:val="center"/>
        <w:outlineLvl w:val="0"/>
        <w:rPr>
          <w:rFonts w:ascii="方正小标宋_GBK" w:eastAsia="方正小标宋_GBK" w:cs="方正小标宋_GBK" w:hAnsi="方正小标宋_GBK"/>
          <w:color w:val="000000"/>
          <w:sz w:val="72"/>
        </w:rPr>
      </w:pPr>
    </w:p>
    <w:p>
      <w:pPr>
        <w:jc w:val="center"/>
        <w:outlineLvl w:val="0"/>
        <w:rPr>
          <w:rFonts w:ascii="方正小标宋_GBK" w:eastAsia="方正小标宋_GBK" w:cs="方正小标宋_GBK" w:hAnsi="方正小标宋_GBK"/>
          <w:color w:val="000000"/>
          <w:sz w:val="72"/>
        </w:rPr>
      </w:pPr>
    </w:p>
    <w:p>
      <w:pPr>
        <w:jc w:val="center"/>
        <w:outlineLvl w:val="0"/>
        <w:rPr>
          <w:rFonts w:eastAsia="方正小标宋_GBK"/>
        </w:rPr>
        <w:sectPr>
          <w:pgSz w:w="16840" w:h="11900" w:orient="landscape"/>
          <w:pgMar w:top="1361" w:right="1020" w:bottom="1134" w:left="1020" w:header="720" w:footer="720" w:gutter="0"/>
          <w:docGrid w:linePitch="312" w:charSpace="0"/>
        </w:sectPr>
      </w:pPr>
      <w:r>
        <w:rPr>
          <w:rFonts w:ascii="方正小标宋_GBK" w:eastAsia="方正小标宋_GBK" w:cs="方正小标宋_GBK" w:hAnsi="方正小标宋_GBK"/>
          <w:color w:val="000000"/>
          <w:sz w:val="72"/>
        </w:rPr>
        <w:t xml:space="preserve"> 第二部分  部门所属单位预</w:t>
      </w:r>
      <w:r>
        <w:rPr>
          <w:rFonts w:ascii="方正小标宋_GBK" w:eastAsia="方正小标宋_GBK" w:cs="方正小标宋_GBK" w:hAnsi="方正小标宋_GBK" w:hint="eastAsia"/>
          <w:color w:val="000000"/>
          <w:sz w:val="72"/>
        </w:rPr>
        <w:t>算</w:t>
      </w:r>
    </w:p>
    <w:p>
      <w:pPr>
        <w:outlineLvl w:val="0"/>
        <w:rPr>
          <w:rFonts w:ascii="方正小标宋_GBK" w:eastAsia="方正小标宋_GBK" w:cs="方正小标宋_GBK" w:hAnsi="方正小标宋_GBK"/>
          <w:color w:val="000000"/>
          <w:sz w:val="72"/>
        </w:rPr>
      </w:pPr>
    </w:p>
    <w:tbl>
      <w:tblPr>
        <w:jc w:val="left"/>
        <w:tblInd w:w="0" w:type="dxa"/>
        <w:tblW w:w="14577"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2595"/>
        <w:gridCol w:w="1853"/>
        <w:gridCol w:w="2714"/>
        <w:gridCol w:w="1743"/>
        <w:gridCol w:w="1513"/>
        <w:gridCol w:w="1650"/>
        <w:gridCol w:w="1759"/>
      </w:tblGrid>
      <w:tr>
        <w:trPr>
          <w:trHeight w:val="750"/>
        </w:trPr>
        <w:tc>
          <w:tcPr>
            <w:tcW w:w="14577" w:type="dxa"/>
            <w:gridSpan w:val="8"/>
            <w:tcBorders>
              <w:top w:val="nil"/>
              <w:left w:val="nil"/>
              <w:bottom w:val="nil"/>
              <w:right w:val="nil"/>
            </w:tcBorders>
            <w:shd w:val="clear" w:color="auto" w:fill="auto"/>
            <w:tcMar>
              <w:top w:w="15" w:type="dxa"/>
              <w:left w:w="15" w:type="dxa"/>
              <w:right w:w="15" w:type="dxa"/>
            </w:tcMar>
            <w:vAlign w:val="center"/>
          </w:tcPr>
          <w:p>
            <w:pPr>
              <w:jc w:val="center"/>
              <w:outlineLvl w:val="3"/>
              <w:rPr>
                <w:rFonts w:ascii="宋体" w:eastAsia="宋体" w:cs="宋体" w:hAnsi="宋体"/>
                <w:b/>
                <w:color w:val="000000"/>
                <w:kern w:val="0"/>
                <w:sz w:val="43"/>
                <w:szCs w:val="43"/>
              </w:rPr>
            </w:pPr>
            <w:r>
              <w:rPr>
                <w:rFonts w:ascii="方正小标宋_GBK" w:eastAsia="方正小标宋_GBK" w:cs="方正小标宋_GBK" w:hAnsi="方正小标宋_GBK"/>
                <w:color w:val="000000"/>
                <w:sz w:val="44"/>
              </w:rPr>
              <w:t>一、深泽县信访局本级收支预算</w:t>
            </w:r>
          </w:p>
          <w:p>
            <w:pPr>
              <w:widowControl/>
              <w:jc w:val="center"/>
              <w:textAlignment w:val="center"/>
              <w:rPr>
                <w:rFonts w:ascii="宋体" w:eastAsia="宋体" w:cs="宋体" w:hAnsi="宋体"/>
                <w:b/>
                <w:color w:val="000000"/>
                <w:sz w:val="43"/>
                <w:szCs w:val="43"/>
              </w:rPr>
            </w:pPr>
            <w:r>
              <w:rPr>
                <w:rFonts w:ascii="宋体" w:eastAsia="宋体" w:cs="宋体" w:hAnsi="宋体" w:hint="eastAsia"/>
                <w:bCs/>
                <w:color w:val="000000"/>
                <w:kern w:val="0"/>
                <w:sz w:val="36"/>
                <w:szCs w:val="36"/>
              </w:rPr>
              <w:t>单位预算财政拨款收支总表</w:t>
            </w:r>
          </w:p>
        </w:tc>
      </w:tr>
      <w:tr>
        <w:trPr>
          <w:trHeight w:val="300"/>
        </w:trPr>
        <w:tc>
          <w:tcPr>
            <w:tcW w:w="7912"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256"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409"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448"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w:t>
            </w:r>
          </w:p>
        </w:tc>
        <w:tc>
          <w:tcPr>
            <w:tcW w:w="9379"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w:t>
            </w:r>
          </w:p>
        </w:tc>
      </w:tr>
      <w:tr>
        <w:trPr>
          <w:trHeight w:val="6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政府性基金预算财政拨款</w:t>
            </w: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38"/>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一、一般公共服务支出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二、外交支出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三、国防支出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四、公共安全支出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五、教育支出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六、科学技术支出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七、文化旅游体育与传媒支出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八、社会保障和就业支出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九、社会保险基金支出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十、卫生健康支出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十一、节能环保支出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十二、城乡社区支出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十三、农林水支出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十四、交通运输支出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十五、资源勘探工业信息等支出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十六、商业服务业等支出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十七、金融支出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十八、援助其他地区支出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十九、自然资源海洋气象等支出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二十、住房保障支出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二十一、粮油物资储备支出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二十二、国有资本经营预算支出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二十三、灾害防治及应急管理支出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二十四、预备费</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二十五、其他支出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二十六、转移性支出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二十七、债务还本支出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二十八、债务付息支出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二十九、债务发行费用支出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三十、抗疫特别国债安排的支出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本年收入合计</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年初财政拨款结转和结余</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年末财政拨款结转和结余</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收入总计</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支出总计</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tbl>
      <w:tblPr>
        <w:jc w:val="left"/>
        <w:tblInd w:w="0" w:type="dxa"/>
        <w:tblW w:w="14714"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570"/>
        <w:gridCol w:w="975"/>
        <w:gridCol w:w="3000"/>
        <w:gridCol w:w="1223"/>
        <w:gridCol w:w="968"/>
        <w:gridCol w:w="1010"/>
        <w:gridCol w:w="995"/>
        <w:gridCol w:w="996"/>
        <w:gridCol w:w="872"/>
        <w:gridCol w:w="900"/>
        <w:gridCol w:w="1077"/>
        <w:gridCol w:w="955"/>
        <w:gridCol w:w="1173"/>
      </w:tblGrid>
      <w:tr>
        <w:trPr>
          <w:trHeight w:val="750"/>
        </w:trPr>
        <w:tc>
          <w:tcPr>
            <w:tcW w:w="14714" w:type="dxa"/>
            <w:gridSpan w:val="13"/>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单位预算收入总表</w:t>
            </w:r>
          </w:p>
        </w:tc>
      </w:tr>
      <w:tr>
        <w:trPr>
          <w:trHeight w:val="300"/>
        </w:trPr>
        <w:tc>
          <w:tcPr>
            <w:tcW w:w="10609" w:type="dxa"/>
            <w:gridSpan w:val="9"/>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1977"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128"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57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397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功能分类科目</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7773" w:type="dxa"/>
            <w:gridSpan w:val="8"/>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上年结转</w:t>
            </w:r>
          </w:p>
        </w:tc>
      </w:tr>
      <w:tr>
        <w:trPr>
          <w:trHeight w:val="640"/>
        </w:trPr>
        <w:tc>
          <w:tcPr>
            <w:tcW w:w="57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小计</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财政拨款收入</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财政专户收入</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事业收入</w:t>
            </w: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经营收入</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上级补助收入</w:t>
            </w: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附属单位上缴收入</w:t>
            </w: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其他收入</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center"/>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tbl>
      <w:tblPr>
        <w:jc w:val="left"/>
        <w:tblInd w:w="0" w:type="dxa"/>
        <w:tblW w:w="14700"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838"/>
        <w:gridCol w:w="1101"/>
        <w:gridCol w:w="3209"/>
        <w:gridCol w:w="1357"/>
        <w:gridCol w:w="1350"/>
        <w:gridCol w:w="1391"/>
        <w:gridCol w:w="1704"/>
        <w:gridCol w:w="1868"/>
        <w:gridCol w:w="1882"/>
      </w:tblGrid>
      <w:tr>
        <w:trPr>
          <w:trHeight w:val="740"/>
        </w:trPr>
        <w:tc>
          <w:tcPr>
            <w:tcW w:w="147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单位预算支出总表</w:t>
            </w:r>
          </w:p>
        </w:tc>
      </w:tr>
      <w:tr>
        <w:trPr>
          <w:trHeight w:val="420"/>
        </w:trPr>
        <w:tc>
          <w:tcPr>
            <w:tcW w:w="7855"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095"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750"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83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31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135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3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139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c>
          <w:tcPr>
            <w:tcW w:w="170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经营支出</w:t>
            </w:r>
          </w:p>
        </w:tc>
        <w:tc>
          <w:tcPr>
            <w:tcW w:w="186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上缴上级支出</w:t>
            </w:r>
          </w:p>
        </w:tc>
        <w:tc>
          <w:tcPr>
            <w:tcW w:w="1882"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对附属单位补助支出</w:t>
            </w:r>
          </w:p>
        </w:tc>
      </w:tr>
      <w:tr>
        <w:trPr>
          <w:trHeight w:val="300"/>
        </w:trPr>
        <w:tc>
          <w:tcPr>
            <w:tcW w:w="83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35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3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3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70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86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88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tbl>
      <w:tblPr>
        <w:jc w:val="left"/>
        <w:tblInd w:w="0" w:type="dxa"/>
        <w:tblW w:w="14782"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2918"/>
        <w:gridCol w:w="1596"/>
        <w:gridCol w:w="2986"/>
        <w:gridCol w:w="1732"/>
        <w:gridCol w:w="1582"/>
        <w:gridCol w:w="1691"/>
        <w:gridCol w:w="1527"/>
      </w:tblGrid>
      <w:tr>
        <w:trPr>
          <w:trHeight w:val="750"/>
        </w:trPr>
        <w:tc>
          <w:tcPr>
            <w:tcW w:w="14782"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单位预算财政拨款收支总表</w:t>
            </w:r>
          </w:p>
        </w:tc>
      </w:tr>
      <w:tr>
        <w:trPr>
          <w:trHeight w:val="300"/>
        </w:trPr>
        <w:tc>
          <w:tcPr>
            <w:tcW w:w="825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314"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218"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514"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w:t>
            </w:r>
          </w:p>
        </w:tc>
        <w:tc>
          <w:tcPr>
            <w:tcW w:w="951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w:t>
            </w:r>
          </w:p>
        </w:tc>
      </w:tr>
      <w:tr>
        <w:trPr>
          <w:trHeight w:val="6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政府性基金预算财政拨款</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一、一般公共服务支出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二、外交支出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三、国防支出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四、公共安全支出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五、教育支出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六、科学技术支出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七、文化旅游体育与传媒支出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八、社会保障和就业支出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九、社会保险基金支出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十、卫生健康支出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十一、节能环保支出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十二、城乡社区支出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十三、农林水支出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十四、交通运输支出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十五、资源勘探工业信息等支出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十六、商业服务业等支出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十七、金融支出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十八、援助其他地区支出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十九、自然资源海洋气象等支出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二十、住房保障支出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二十一、粮油物资储备支出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二十二、国有资本经营预算支出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二十三、灾害防治及应急管理支出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二十四、预备费</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二十五、其他支出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二十六、转移性支出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二十七、债务还本支出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二十八、债务付息支出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二十九、债务发行费用支出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三十、抗疫特别国债安排的支出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本年收入合计</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年初财政拨款结转和结余</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年末财政拨款结转和结余</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收入总计</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支出总计</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tbl>
      <w:tblPr>
        <w:jc w:val="left"/>
        <w:tblInd w:w="0" w:type="dxa"/>
        <w:tblW w:w="14727"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1725"/>
        <w:gridCol w:w="3000"/>
        <w:gridCol w:w="1739"/>
        <w:gridCol w:w="1677"/>
        <w:gridCol w:w="1718"/>
        <w:gridCol w:w="2196"/>
        <w:gridCol w:w="1922"/>
      </w:tblGrid>
      <w:tr>
        <w:trPr>
          <w:trHeight w:val="750"/>
        </w:trPr>
        <w:tc>
          <w:tcPr>
            <w:tcW w:w="14727"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单位预算一般公共预算财政拨款支出表</w:t>
            </w:r>
          </w:p>
        </w:tc>
      </w:tr>
      <w:tr>
        <w:trPr>
          <w:trHeight w:val="300"/>
        </w:trPr>
        <w:tc>
          <w:tcPr>
            <w:tcW w:w="8891"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914"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1922"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72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173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559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3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73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小计</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人员经费</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公用经费</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center"/>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94.11</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p/>
    <w:p/>
    <w:tbl>
      <w:tblPr>
        <w:jc w:val="left"/>
        <w:tblInd w:w="0" w:type="dxa"/>
        <w:tblW w:w="14755"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945"/>
        <w:gridCol w:w="2055"/>
        <w:gridCol w:w="3000"/>
        <w:gridCol w:w="3000"/>
        <w:gridCol w:w="3000"/>
        <w:gridCol w:w="2755"/>
      </w:tblGrid>
      <w:tr>
        <w:trPr>
          <w:trHeight w:val="750"/>
        </w:trPr>
        <w:tc>
          <w:tcPr>
            <w:tcW w:w="14755"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单位预算一般公共预算财政拨款基本支出表</w:t>
            </w:r>
          </w:p>
        </w:tc>
      </w:tr>
      <w:tr>
        <w:trPr>
          <w:trHeight w:val="300"/>
        </w:trPr>
        <w:tc>
          <w:tcPr>
            <w:tcW w:w="900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00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755"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94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支出部门经济分类科目</w:t>
            </w:r>
          </w:p>
        </w:tc>
        <w:tc>
          <w:tcPr>
            <w:tcW w:w="875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一般公共预算基本支出</w:t>
            </w:r>
          </w:p>
        </w:tc>
      </w:tr>
      <w:tr>
        <w:trPr>
          <w:trHeight w:val="300"/>
        </w:trPr>
        <w:tc>
          <w:tcPr>
            <w:tcW w:w="94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人员经费</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公用经费</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94.11</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77.88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77.88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38.31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38.31</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津贴补贴</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12.69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12.69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奖金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1.74</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绩效工资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城镇职工基本医疗保险缴费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其他社会保障缴费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0.39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办公费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公务用车运行维护费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其他交通费用</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0.10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退休费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2.65</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生活补助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奖励金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11.93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11.93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p/>
    <w:p/>
    <w:p/>
    <w:p/>
    <w:p/>
    <w:p/>
    <w:p/>
    <w:p/>
    <w:p/>
    <w:p/>
    <w:p/>
    <w:p/>
    <w:p/>
    <w:tbl>
      <w:tblPr>
        <w:jc w:val="left"/>
        <w:tblInd w:w="0" w:type="dxa"/>
        <w:tblW w:w="14673"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624"/>
        <w:gridCol w:w="3632"/>
        <w:gridCol w:w="3349"/>
        <w:gridCol w:w="2254"/>
        <w:gridCol w:w="2264"/>
        <w:gridCol w:w="2550"/>
      </w:tblGrid>
      <w:tr>
        <w:trPr>
          <w:trHeight w:val="915"/>
        </w:trPr>
        <w:tc>
          <w:tcPr>
            <w:tcW w:w="14673"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单位预算政府基金预算财政拨款支出表</w:t>
            </w:r>
          </w:p>
        </w:tc>
      </w:tr>
      <w:tr>
        <w:trPr>
          <w:trHeight w:val="435"/>
        </w:trPr>
        <w:tc>
          <w:tcPr>
            <w:tcW w:w="9859"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2264"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55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435"/>
        </w:trPr>
        <w:tc>
          <w:tcPr>
            <w:tcW w:w="62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698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225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26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25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825"/>
        </w:trPr>
        <w:tc>
          <w:tcPr>
            <w:tcW w:w="62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225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26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435"/>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58"/>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20"/>
        </w:trPr>
        <w:tc>
          <w:tcPr>
            <w:tcW w:w="62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632"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Times New Roman" w:eastAsia="宋体" w:cs="Times New Roman" w:hAnsi="Times New Roman"/>
                <w:color w:val="000000"/>
                <w:sz w:val="24"/>
              </w:rPr>
            </w:pPr>
            <w:r>
              <w:rPr>
                <w:rFonts w:ascii="Times New Roman" w:eastAsia="宋体" w:cs="Times New Roman" w:hAnsi="Times New Roman"/>
                <w:color w:val="000000"/>
                <w:kern w:val="0"/>
                <w:sz w:val="24"/>
              </w:rPr>
              <w:t>注：无政府基金预算，空表列示。</w:t>
            </w:r>
          </w:p>
        </w:tc>
        <w:tc>
          <w:tcPr>
            <w:tcW w:w="3349"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6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550"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r>
    </w:tbl>
    <w:p/>
    <w:p/>
    <w:p/>
    <w:p/>
    <w:p/>
    <w:p/>
    <w:p/>
    <w:p/>
    <w:p/>
    <w:p/>
    <w:tbl>
      <w:tblPr>
        <w:jc w:val="left"/>
        <w:tblInd w:w="0" w:type="dxa"/>
        <w:tblW w:w="14659"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990"/>
        <w:gridCol w:w="1455"/>
        <w:gridCol w:w="4275"/>
        <w:gridCol w:w="2417"/>
        <w:gridCol w:w="2563"/>
        <w:gridCol w:w="2959"/>
      </w:tblGrid>
      <w:tr>
        <w:trPr>
          <w:trHeight w:val="780"/>
        </w:trPr>
        <w:tc>
          <w:tcPr>
            <w:tcW w:w="14659"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单位预算国有资本经营预算财政拨款支出表</w:t>
            </w:r>
          </w:p>
        </w:tc>
      </w:tr>
      <w:tr>
        <w:trPr>
          <w:trHeight w:val="495"/>
        </w:trPr>
        <w:tc>
          <w:tcPr>
            <w:tcW w:w="9137"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2563"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959"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540"/>
        </w:trPr>
        <w:tc>
          <w:tcPr>
            <w:tcW w:w="9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573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241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6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295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760"/>
        </w:trPr>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241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6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95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540"/>
        </w:trPr>
        <w:tc>
          <w:tcPr>
            <w:tcW w:w="990" w:type="dxa"/>
            <w:tcBorders>
              <w:top w:val="nil"/>
              <w:left w:val="nil"/>
              <w:bottom w:val="nil"/>
              <w:right w:val="nil"/>
            </w:tcBorders>
            <w:shd w:val="clear" w:color="auto" w:fill="auto"/>
            <w:tcMar>
              <w:top w:w="15" w:type="dxa"/>
              <w:left w:w="15" w:type="dxa"/>
              <w:right w:w="15" w:type="dxa"/>
            </w:tcMar>
          </w:tcPr>
          <w:p>
            <w:pPr>
              <w:rPr>
                <w:rFonts w:ascii="宋体" w:eastAsia="宋体" w:cs="宋体" w:hAnsi="宋体"/>
                <w:color w:val="000000"/>
                <w:sz w:val="18"/>
                <w:szCs w:val="18"/>
              </w:rPr>
            </w:pPr>
          </w:p>
        </w:tc>
        <w:tc>
          <w:tcPr>
            <w:tcW w:w="13669" w:type="dxa"/>
            <w:gridSpan w:val="5"/>
            <w:tcBorders>
              <w:top w:val="single" w:sz="4" w:space="0" w:color="000000"/>
              <w:left w:val="nil"/>
              <w:bottom w:val="nil"/>
              <w:right w:val="nil"/>
            </w:tcBorders>
            <w:shd w:val="clear" w:color="auto" w:fill="auto"/>
            <w:tcMar>
              <w:top w:w="15" w:type="dxa"/>
              <w:left w:w="15" w:type="dxa"/>
              <w:right w:w="15" w:type="dxa"/>
            </w:tcMar>
            <w:vAlign w:val="center"/>
          </w:tcPr>
          <w:p>
            <w:pPr>
              <w:widowControl/>
              <w:jc w:val="left"/>
              <w:textAlignment w:val="center"/>
              <w:rPr>
                <w:rFonts w:ascii="方正仿宋_GBK" w:eastAsia="方正仿宋_GBK" w:cs="方正仿宋_GBK" w:hAnsi="方正仿宋_GBK"/>
                <w:color w:val="000000"/>
                <w:sz w:val="24"/>
              </w:rPr>
            </w:pPr>
            <w:r>
              <w:rPr>
                <w:rFonts w:ascii="方正仿宋_GBK" w:eastAsia="方正仿宋_GBK" w:cs="方正仿宋_GBK" w:hAnsi="方正仿宋_GBK"/>
                <w:color w:val="000000"/>
                <w:kern w:val="0"/>
                <w:sz w:val="24"/>
              </w:rPr>
              <w:t>注：无国有资本经营预算，空表列示。</w:t>
            </w:r>
          </w:p>
        </w:tc>
      </w:tr>
    </w:tbl>
    <w:p/>
    <w:p/>
    <w:p/>
    <w:p/>
    <w:p/>
    <w:p/>
    <w:p/>
    <w:tbl>
      <w:tblPr>
        <w:jc w:val="left"/>
        <w:tblInd w:w="0" w:type="dxa"/>
        <w:tblW w:w="14741"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3900"/>
        <w:gridCol w:w="2550"/>
        <w:gridCol w:w="2550"/>
        <w:gridCol w:w="2550"/>
        <w:gridCol w:w="2441"/>
      </w:tblGrid>
      <w:tr>
        <w:trPr>
          <w:trHeight w:val="750"/>
        </w:trPr>
        <w:tc>
          <w:tcPr>
            <w:tcW w:w="14741"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单位预算财政拨款“三公”经费支出表</w:t>
            </w:r>
          </w:p>
        </w:tc>
      </w:tr>
      <w:tr>
        <w:trPr>
          <w:trHeight w:val="600"/>
        </w:trPr>
        <w:tc>
          <w:tcPr>
            <w:tcW w:w="975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255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441"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54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390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资金性质</w:t>
            </w:r>
          </w:p>
        </w:tc>
      </w:tr>
      <w:tr>
        <w:trPr>
          <w:trHeight w:val="78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390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政府性基金财政拨款</w:t>
            </w: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一、因公出国（境）费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二、公务用车购置及运维费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 xml:space="preserve">    其中：公务用车购置费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 xml:space="preserve">          公务用车运行维护费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三、公务接待费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Pr>
        <w:jc w:val="center"/>
        <w:rPr>
          <w:rFonts w:ascii="方正小标宋_GBK" w:eastAsia="方正小标宋_GBK" w:cs="方正小标宋_GBK" w:hAnsi="方正小标宋_GBK"/>
          <w:color w:val="000000"/>
          <w:sz w:val="44"/>
        </w:rPr>
      </w:pPr>
    </w:p>
    <w:p>
      <w:pPr>
        <w:jc w:val="center"/>
        <w:outlineLvl w:val="4"/>
        <w:rPr>
          <w:rFonts w:ascii="方正小标宋_GBK" w:eastAsia="方正小标宋_GBK" w:cs="方正小标宋_GBK" w:hAnsi="方正小标宋_GBK"/>
          <w:color w:val="000000"/>
          <w:sz w:val="44"/>
        </w:rPr>
      </w:pPr>
    </w:p>
    <w:p>
      <w:pPr>
        <w:jc w:val="center"/>
        <w:outlineLvl w:val="4"/>
        <w:rPr>
          <w:rFonts w:ascii="方正小标宋_GBK" w:eastAsia="方正小标宋_GBK" w:cs="方正小标宋_GBK" w:hAnsi="方正小标宋_GBK"/>
          <w:color w:val="000000"/>
          <w:sz w:val="44"/>
        </w:rPr>
      </w:pPr>
    </w:p>
    <w:p>
      <w:pPr>
        <w:jc w:val="center"/>
        <w:outlineLvl w:val="4"/>
      </w:pPr>
      <w:r>
        <w:rPr>
          <w:rFonts w:ascii="方正小标宋_GBK" w:eastAsia="方正小标宋_GBK" w:cs="方正小标宋_GBK" w:hAnsi="方正小标宋_GBK"/>
          <w:color w:val="000000"/>
          <w:sz w:val="44"/>
        </w:rPr>
        <w:t>深泽县信访局本级202</w:t>
      </w:r>
      <w:r>
        <w:rPr>
          <w:rFonts w:ascii="方正小标宋_GBK" w:eastAsia="方正小标宋_GBK" w:cs="方正小标宋_GBK" w:hAnsi="方正小标宋_GBK" w:hint="eastAsia"/>
          <w:color w:val="000000"/>
          <w:sz w:val="44"/>
        </w:rPr>
        <w:t>1</w:t>
      </w:r>
      <w:r>
        <w:rPr>
          <w:rFonts w:ascii="方正小标宋_GBK" w:eastAsia="方正小标宋_GBK" w:cs="方正小标宋_GBK" w:hAnsi="方正小标宋_GBK"/>
          <w:color w:val="000000"/>
          <w:sz w:val="44"/>
        </w:rPr>
        <w:t>年单位预算信息公开情况说明</w:t>
      </w:r>
    </w:p>
    <w:p>
      <w:pPr>
        <w:spacing w:line="500" w:lineRule="exact"/>
        <w:ind w:firstLine="560"/>
      </w:pPr>
      <w:r>
        <w:rPr>
          <w:rFonts w:eastAsia="方正仿宋_GBK"/>
          <w:color w:val="000000"/>
          <w:sz w:val="28"/>
        </w:rPr>
        <w:t>按照《</w:t>
      </w:r>
      <w:r>
        <w:rPr>
          <w:rFonts w:ascii="方正仿宋_GBK" w:eastAsia="方正仿宋_GBK" w:cs="仿宋_GB2312"/>
          <w:sz w:val="28"/>
          <w:szCs w:val="32"/>
          <w:lang w:bidi="ar-SA"/>
        </w:rPr>
        <w:t>中华人民共和国</w:t>
      </w:r>
      <w:r>
        <w:rPr>
          <w:rFonts w:eastAsia="方正仿宋_GBK"/>
          <w:color w:val="000000"/>
          <w:sz w:val="28"/>
        </w:rPr>
        <w:t>预算法》、《地方预决算公开操作规程》和《关于进一步推进预算公开工作的实施意见》规定，现将深泽县信访局本级202</w:t>
      </w:r>
      <w:r>
        <w:rPr>
          <w:rFonts w:eastAsia="方正仿宋_GBK" w:hint="eastAsia"/>
          <w:color w:val="000000"/>
          <w:sz w:val="28"/>
        </w:rPr>
        <w:t>1</w:t>
      </w:r>
      <w:r>
        <w:rPr>
          <w:rFonts w:eastAsia="方正仿宋_GBK"/>
          <w:color w:val="000000"/>
          <w:sz w:val="28"/>
        </w:rPr>
        <w:t>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4"/>
      </w:pPr>
      <w:r>
        <w:t>（一）受理、交办、转送信访人提出的信访事项，告知信访人信访事项办理情况；</w:t>
      </w:r>
    </w:p>
    <w:p>
      <w:pPr>
        <w:pStyle w:val="24"/>
      </w:pPr>
      <w:r>
        <w:t>（二）承办上级和本级国家机关交办、转送的信访事项；</w:t>
      </w:r>
    </w:p>
    <w:p>
      <w:pPr>
        <w:pStyle w:val="24"/>
      </w:pPr>
      <w:r>
        <w:t>（三）协调、调度、检查、督促信访事项的受理、办理及处理意见的落实，提出改进工作,完善政策，追究责任的建议；</w:t>
      </w:r>
    </w:p>
    <w:p>
      <w:pPr>
        <w:pStyle w:val="24"/>
      </w:pPr>
      <w:r>
        <w:t>（四）研究、分析信访情况，开展调查研究，总结交流信访工作经验；</w:t>
      </w:r>
    </w:p>
    <w:p>
      <w:pPr>
        <w:pStyle w:val="24"/>
      </w:pPr>
      <w:r>
        <w:t>（五）征集、办理人民群众建议；</w:t>
      </w:r>
    </w:p>
    <w:p>
      <w:pPr>
        <w:pStyle w:val="24"/>
      </w:pPr>
      <w:r>
        <w:t>（六）宣传有关法律、法规、提供咨询，引导信访人依法、有序信访、逐级走访。</w:t>
      </w:r>
    </w:p>
    <w:p>
      <w:pPr>
        <w:pStyle w:val="24"/>
      </w:pPr>
      <w:r>
        <w:t>（七）承担县委 、县政府交办的其他任务。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19"/>
            </w:pPr>
            <w:r>
              <w:t>深泽县信访局本级</w:t>
            </w:r>
          </w:p>
        </w:tc>
        <w:tc>
          <w:tcPr>
            <w:tcW w:w="1843" w:type="dxa"/>
            <w:tcBorders>
              <w:top w:val="single" w:sz="6" w:space="0" w:color="000000"/>
              <w:left w:val="single" w:sz="6" w:space="0" w:color="000000"/>
              <w:right w:val="single" w:sz="6" w:space="0" w:color="000000"/>
            </w:tcBorders>
            <w:vAlign w:val="center"/>
          </w:tcPr>
          <w:p>
            <w:pPr>
              <w:pStyle w:val="20"/>
            </w:pPr>
            <w:r>
              <w:t>行政</w:t>
            </w:r>
          </w:p>
        </w:tc>
        <w:tc>
          <w:tcPr>
            <w:tcW w:w="2126" w:type="dxa"/>
            <w:tcBorders>
              <w:top w:val="single" w:sz="6" w:space="0" w:color="000000"/>
              <w:left w:val="single" w:sz="6" w:space="0" w:color="000000"/>
              <w:right w:val="single" w:sz="6" w:space="0" w:color="000000"/>
            </w:tcBorders>
            <w:vAlign w:val="center"/>
          </w:tcPr>
          <w:p>
            <w:pPr>
              <w:pStyle w:val="20"/>
            </w:pPr>
            <w:r>
              <w:t>正科级</w:t>
            </w:r>
          </w:p>
        </w:tc>
        <w:tc>
          <w:tcPr>
            <w:tcW w:w="3827" w:type="dxa"/>
            <w:tcBorders>
              <w:top w:val="single" w:sz="6" w:space="0" w:color="000000"/>
              <w:left w:val="single" w:sz="6" w:space="0" w:color="000000"/>
              <w:right w:val="single" w:sz="6" w:space="0" w:color="000000"/>
            </w:tcBorders>
            <w:vAlign w:val="center"/>
          </w:tcPr>
          <w:p>
            <w:pPr>
              <w:pStyle w:val="20"/>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pStyle w:val="25"/>
      </w:pPr>
      <w:r>
        <w:t>按照预算管理有关规定，目前我县单位预算的编制实行综合预算制度，即全部收入和支出都反映在预算中。</w:t>
      </w:r>
    </w:p>
    <w:p>
      <w:pPr>
        <w:pStyle w:val="21"/>
      </w:pPr>
      <w:r>
        <w:rPr>
          <w:rFonts w:hint="eastAsia"/>
        </w:rPr>
        <w:t xml:space="preserve">1、收入说明 </w:t>
      </w:r>
    </w:p>
    <w:p>
      <w:pPr>
        <w:pStyle w:val="21"/>
      </w:pPr>
      <w:r>
        <w:rPr>
          <w:rFonts w:hint="eastAsia"/>
        </w:rPr>
        <w:t>反映本单位当年全部收入，2021年预算收入191.43万元，其中：一般公共预算收入191.43万元、政府性基金收入0万元、国有资本经营预算收入0万元、财政专户核拨收入0万元，其他来源收入0万元。</w:t>
      </w:r>
    </w:p>
    <w:p>
      <w:pPr>
        <w:pStyle w:val="21"/>
      </w:pPr>
      <w:r>
        <w:rPr>
          <w:rFonts w:hint="eastAsia"/>
        </w:rPr>
        <w:t>支出说明</w:t>
      </w:r>
    </w:p>
    <w:p>
      <w:pPr>
        <w:pStyle w:val="21"/>
      </w:pPr>
      <w:r>
        <w:rPr>
          <w:rFonts w:hint="eastAsia"/>
        </w:rPr>
        <w:t>收支预算总表支出栏、基本支出表、项目支出表按经济分类和支出功能分类科目编制，反映深泽县信访局年度单位预算中支出预算的总体情况。2021年部门单位预算为191.43万元，其中基本支出101.11万元，包括人员经费94.11万元和日常公用经费7万元；项目支出90.32万元，主要为信访问题处理50万元，信访事务管理20万元,选岗人员工资及保险20.32万元。</w:t>
      </w:r>
    </w:p>
    <w:p>
      <w:pPr>
        <w:pStyle w:val="21"/>
      </w:pPr>
      <w:r>
        <w:rPr>
          <w:rFonts w:hint="eastAsia"/>
        </w:rPr>
        <w:t>3、比上年增减情况</w:t>
      </w:r>
    </w:p>
    <w:p>
      <w:pPr>
        <w:pStyle w:val="21"/>
      </w:pPr>
      <w:r>
        <w:rPr>
          <w:rFonts w:hint="eastAsia"/>
        </w:rPr>
        <w:t>2021年单位预算收支安排191.43万元，较2020年增加13.14万元，其中：基本支出减少7.18万元，主要是人员减少，相应减少人员经费和日常公用经费；项目支出增加20.32万元,主要是由于项目调整。</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三、机关运行经费安排情况</w:t>
      </w:r>
    </w:p>
    <w:p>
      <w:pPr>
        <w:pStyle w:val="21"/>
      </w:pPr>
      <w:r>
        <w:rPr>
          <w:rFonts w:eastAsia="仿宋" w:hint="eastAsia"/>
          <w:sz w:val="32"/>
          <w:szCs w:val="32"/>
        </w:rPr>
        <w:t>2</w:t>
      </w:r>
      <w:r>
        <w:rPr>
          <w:rFonts w:hint="eastAsia"/>
        </w:rPr>
        <w:t>021年度机关运行经费预算7万元,主要用于保证机关正常运转的办公费、公务用车运行维护费、 其他交通费用、其他商品和服务支出等支出。</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四、财政拨款“三公”经费预算情况及增减变化原因</w:t>
      </w:r>
    </w:p>
    <w:p>
      <w:pPr>
        <w:pStyle w:val="21"/>
      </w:pPr>
      <w:r>
        <w:rPr>
          <w:rFonts w:hint="eastAsia"/>
        </w:rPr>
        <w:t>2021年，我单位财政拨款“三公”经费预算安排1万元，与上年持平，无增减变化。其中，因公出国（境）费0万元，与上年持平，无增减变化，主要原因为年初没有安排因公出国费；公务用车购置及运行维护费1万元(其中公务用车购置0万元，公务用车运行维护费1万元），与上年持平，无增减变化，主要原因为厉行节约；公务接待费0万元，与上年持平，无增减变化，主要原因为年初没有安排公务接待费。</w:t>
      </w:r>
    </w:p>
    <w:p>
      <w:pPr>
        <w:numPr>
          <w:ilvl w:val="0"/>
          <w:numId w:val="3"/>
        </w:numPr>
        <w:autoSpaceDE w:val="0"/>
        <w:autoSpaceDN w:val="0"/>
        <w:adjustRightInd w:val="0"/>
        <w:ind w:left="0" w:firstLineChars="200" w:firstLine="640"/>
        <w:jc w:val="left"/>
        <w:rPr>
          <w:rFonts w:ascii="黑体" w:eastAsia="黑体" w:hAnsi="黑体"/>
          <w:sz w:val="32"/>
          <w:szCs w:val="32"/>
        </w:rPr>
      </w:pPr>
      <w:r>
        <w:rPr>
          <w:rFonts w:ascii="黑体" w:eastAsia="黑体" w:hAnsi="黑体" w:hint="eastAsia"/>
          <w:sz w:val="32"/>
          <w:szCs w:val="32"/>
        </w:rPr>
        <w:t>绩效预算信息：</w:t>
      </w:r>
    </w:p>
    <w:p>
      <w:pPr>
        <w:autoSpaceDE w:val="0"/>
        <w:autoSpaceDN w:val="0"/>
        <w:adjustRightInd w:val="0"/>
        <w:ind w:left="640"/>
        <w:jc w:val="left"/>
        <w:rPr>
          <w:rFonts w:ascii="黑体" w:eastAsia="黑体" w:hAnsi="黑体"/>
          <w:sz w:val="32"/>
          <w:szCs w:val="32"/>
        </w:rPr>
      </w:pPr>
    </w:p>
    <w:p>
      <w:pPr>
        <w:autoSpaceDE w:val="0"/>
        <w:autoSpaceDN w:val="0"/>
        <w:adjustRightInd w:val="0"/>
        <w:jc w:val="left"/>
        <w:rPr>
          <w:rFonts w:ascii="黑体" w:eastAsia="黑体" w:hAnsi="黑体"/>
          <w:sz w:val="32"/>
          <w:szCs w:val="32"/>
        </w:rPr>
      </w:pPr>
    </w:p>
    <w:p>
      <w:pPr>
        <w:pStyle w:val="25"/>
      </w:pPr>
    </w:p>
    <w:p>
      <w:pPr>
        <w:pStyle w:val="25"/>
      </w:pPr>
    </w:p>
    <w:p>
      <w:pPr>
        <w:jc w:val="left"/>
        <w:rPr>
          <w:rFonts w:ascii="方正小标宋_GBK" w:eastAsia="方正小标宋_GBK" w:cs="方正小标宋_GBK" w:hAnsi="方正小标宋_GBK"/>
          <w:color w:val="000000"/>
          <w:sz w:val="28"/>
          <w:szCs w:val="28"/>
        </w:rPr>
      </w:pPr>
    </w:p>
    <w:p>
      <w:pPr>
        <w:rPr>
          <w:rFonts w:ascii="方正小标宋_GBK" w:eastAsia="方正小标宋_GBK" w:cs="方正小标宋_GBK" w:hAnsi="方正小标宋_GBK"/>
          <w:color w:val="000000"/>
          <w:sz w:val="44"/>
        </w:rPr>
      </w:pPr>
    </w:p>
    <w:p>
      <w:pPr>
        <w:pStyle w:val="21"/>
        <w:ind w:firstLineChars="200" w:firstLine="560"/>
        <w:rPr>
          <w:color w:val="000000"/>
        </w:rPr>
      </w:pPr>
    </w:p>
    <w:p>
      <w:pPr>
        <w:pStyle w:val="21"/>
        <w:ind w:firstLineChars="200" w:firstLine="560"/>
        <w:rPr>
          <w:color w:val="000000"/>
        </w:rPr>
      </w:pPr>
    </w:p>
    <w:p>
      <w:pPr>
        <w:pStyle w:val="21"/>
        <w:ind w:firstLineChars="200" w:firstLine="560"/>
        <w:rPr>
          <w:color w:val="000000"/>
        </w:rPr>
      </w:pPr>
    </w:p>
    <w:p>
      <w:pPr>
        <w:pStyle w:val="21"/>
        <w:ind w:firstLineChars="200" w:firstLine="560"/>
        <w:rPr>
          <w:color w:val="000000"/>
        </w:rPr>
      </w:pPr>
    </w:p>
    <w:p>
      <w:pPr>
        <w:pStyle w:val="21"/>
        <w:ind w:firstLineChars="200" w:firstLine="560"/>
        <w:rPr>
          <w:color w:val="000000"/>
        </w:rPr>
      </w:pPr>
    </w:p>
    <w:p>
      <w:pPr>
        <w:pStyle w:val="21"/>
        <w:rPr>
          <w:rFonts w:ascii="方正仿宋_GBK"/>
          <w:b/>
        </w:rPr>
      </w:pPr>
      <w:r>
        <w:rPr>
          <w:rFonts w:ascii="方正仿宋_GBK" w:hint="eastAsia"/>
          <w:b/>
        </w:rPr>
        <w:t>1.京、省、市信访值班费绩效目标表</w:t>
      </w:r>
    </w:p>
    <w:tbl>
      <w:tblPr>
        <w:tblpPr w:leftFromText="180" w:rightFromText="180" w:vertAnchor="text" w:horzAnchor="page" w:tblpX="1728" w:tblpY="96"/>
        <w:tblOverlap w:val="never"/>
        <w:tblW w:w="1416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834"/>
        <w:gridCol w:w="2494"/>
        <w:gridCol w:w="1276"/>
        <w:gridCol w:w="4480"/>
        <w:gridCol w:w="1732"/>
        <w:gridCol w:w="2345"/>
      </w:tblGrid>
      <w:tr>
        <w:trPr>
          <w:cantSplit/>
          <w:trHeight w:val="397"/>
          <w:tblHeader/>
        </w:trPr>
        <w:tc>
          <w:tcPr>
            <w:tcW w:w="1834"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2327" w:type="dxa"/>
            <w:gridSpan w:val="5"/>
            <w:vAlign w:val="center"/>
          </w:tcPr>
          <w:p>
            <w:pPr>
              <w:spacing w:line="300" w:lineRule="exact"/>
              <w:jc w:val="left"/>
              <w:rPr>
                <w:rFonts w:ascii="方正书宋_GBK" w:eastAsia="方正书宋_GBK"/>
                <w:b/>
              </w:rPr>
            </w:pPr>
            <w:r>
              <w:rPr>
                <w:rFonts w:ascii="方正书宋_GBK" w:eastAsia="方正书宋_GBK"/>
              </w:rPr>
              <w:t>1.</w:t>
            </w:r>
            <w:r>
              <w:rPr>
                <w:rFonts w:ascii="方正书宋_GBK" w:eastAsia="方正书宋_GBK" w:hint="eastAsia"/>
              </w:rPr>
              <w:t>妥善处置非正常访，做好信访维稳值班，维护社会的和谐稳定。</w:t>
            </w:r>
          </w:p>
        </w:tc>
      </w:tr>
      <w:tr>
        <w:trPr>
          <w:cantSplit/>
          <w:trHeight w:val="397"/>
          <w:tblHeader/>
        </w:trPr>
        <w:tc>
          <w:tcPr>
            <w:tcW w:w="18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49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127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4480"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173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234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834"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督办信访案件数量</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逐年增加</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信访事项按期结案率</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已按期办结的案件数量占案件总数的比例</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信访事项受理及时率</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及时受理信访事项数量占信访事项数量的比例</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按政策执行</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维护社会的和谐稳定</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妥善处置非访、突发性群体事件</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信访群众满意度</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反映信访群众满意度</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bl>
    <w:p>
      <w:pPr>
        <w:pStyle w:val="21"/>
        <w:ind w:firstLine="0"/>
        <w:rPr>
          <w:rFonts w:ascii="方正仿宋_GBK"/>
          <w:b/>
        </w:rPr>
      </w:pPr>
    </w:p>
    <w:p>
      <w:pPr>
        <w:spacing w:line="14" w:lineRule="exact"/>
        <w:jc w:val="center"/>
        <w:rPr>
          <w:rFonts w:hAnsi="宋体"/>
        </w:rPr>
      </w:pPr>
      <w:r>
        <w:rPr>
          <w:rFonts w:ascii="方正书宋_GBK" w:eastAsia="方正书宋_GBK"/>
        </w:rPr>
        <w:t xml:space="preserve"> </w:t>
      </w: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rPr>
          <w:rFonts w:ascii="方正仿宋_GBK"/>
          <w:b/>
        </w:rPr>
      </w:pPr>
      <w:r>
        <w:rPr>
          <w:rFonts w:ascii="方正仿宋_GBK" w:hint="eastAsia"/>
          <w:b/>
        </w:rPr>
        <w:t>2.选岗人员工资及保险绩效目标表</w:t>
      </w:r>
    </w:p>
    <w:tbl>
      <w:tblPr>
        <w:tblpPr w:leftFromText="180" w:rightFromText="180" w:vertAnchor="text" w:horzAnchor="page" w:tblpX="1755" w:tblpY="110"/>
        <w:tblOverlap w:val="never"/>
        <w:tblW w:w="141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39"/>
        <w:gridCol w:w="2277"/>
        <w:gridCol w:w="2045"/>
        <w:gridCol w:w="3150"/>
        <w:gridCol w:w="3205"/>
        <w:gridCol w:w="2032"/>
      </w:tblGrid>
      <w:tr>
        <w:trPr>
          <w:cantSplit/>
          <w:trHeight w:val="397"/>
          <w:tblHeader/>
        </w:trPr>
        <w:tc>
          <w:tcPr>
            <w:tcW w:w="1439"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2709" w:type="dxa"/>
            <w:gridSpan w:val="5"/>
            <w:vAlign w:val="center"/>
          </w:tcPr>
          <w:p>
            <w:pPr>
              <w:spacing w:line="300" w:lineRule="exact"/>
              <w:jc w:val="left"/>
              <w:rPr>
                <w:rFonts w:ascii="方正书宋_GBK" w:eastAsia="方正书宋_GBK"/>
                <w:b/>
              </w:rPr>
            </w:pPr>
            <w:r>
              <w:rPr>
                <w:rFonts w:ascii="方正书宋_GBK" w:eastAsia="方正书宋_GBK"/>
              </w:rPr>
              <w:t>1.</w:t>
            </w:r>
            <w:r>
              <w:rPr>
                <w:rFonts w:ascii="方正书宋_GBK" w:eastAsia="方正书宋_GBK" w:hint="eastAsia"/>
              </w:rPr>
              <w:t>保证本单位人员经费全部到位，各项业务顺利进行。</w:t>
            </w:r>
          </w:p>
        </w:tc>
      </w:tr>
      <w:tr>
        <w:trPr>
          <w:cantSplit/>
          <w:trHeight w:val="397"/>
          <w:tblHeader/>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27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204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3150"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320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203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439"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应发工资人数</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本单位应发工资人数</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单位所有在职离退休人数</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缴纳社保费比例</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单位人员缴纳社保费比例</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合格</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支付及时率</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工资发放及社保费及时率</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rPr>
              <w:t>20.32</w:t>
            </w:r>
            <w:r>
              <w:rPr>
                <w:rFonts w:ascii="方正书宋_GBK" w:eastAsia="方正书宋_GBK" w:hint="eastAsia"/>
              </w:rPr>
              <w:t>万元</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可持续影响指标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项目能持续运行</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项目依据的政策能持续运行</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可持续</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历史依据</w:t>
            </w:r>
          </w:p>
        </w:tc>
      </w:tr>
      <w:tr>
        <w:trPr>
          <w:cantSplit/>
          <w:trHeight w:val="369"/>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服务对象满意的程度</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问卷调查</w:t>
            </w:r>
          </w:p>
        </w:tc>
      </w:tr>
    </w:tbl>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ind w:firstLine="0"/>
        <w:rPr>
          <w:rFonts w:ascii="方正仿宋_GBK"/>
          <w:b/>
        </w:rPr>
      </w:pPr>
    </w:p>
    <w:p>
      <w:pPr>
        <w:pStyle w:val="21"/>
        <w:tabs>
          <w:tab w:val="left" w:pos="312"/>
        </w:tabs>
        <w:ind w:firstLineChars="50" w:firstLine="140"/>
        <w:rPr>
          <w:rFonts w:ascii="方正仿宋_GBK"/>
          <w:b/>
        </w:rPr>
      </w:pPr>
      <w:r>
        <w:rPr>
          <w:rFonts w:ascii="方正仿宋_GBK" w:hint="eastAsia"/>
          <w:b/>
        </w:rPr>
        <w:t>3</w:t>
      </w:r>
      <w:r>
        <w:rPr>
          <w:rFonts w:ascii="方正仿宋_GBK"/>
          <w:b/>
        </w:rPr>
        <w:t>.</w:t>
      </w:r>
      <w:r>
        <w:rPr>
          <w:rFonts w:ascii="方正仿宋_GBK" w:hint="eastAsia"/>
          <w:b/>
        </w:rPr>
        <w:t>信访群众工作中心日常运转费绩效目标表</w:t>
      </w:r>
    </w:p>
    <w:tbl>
      <w:tblPr>
        <w:tblpPr w:leftFromText="180" w:rightFromText="180" w:vertAnchor="text" w:horzAnchor="page" w:tblpX="1223" w:tblpY="97"/>
        <w:tblOverlap w:val="never"/>
        <w:tblW w:w="146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507"/>
        <w:gridCol w:w="2236"/>
        <w:gridCol w:w="3273"/>
        <w:gridCol w:w="3723"/>
        <w:gridCol w:w="2209"/>
        <w:gridCol w:w="1704"/>
      </w:tblGrid>
      <w:tr>
        <w:trPr>
          <w:cantSplit/>
          <w:trHeight w:val="397"/>
          <w:tblHeader/>
        </w:trPr>
        <w:tc>
          <w:tcPr>
            <w:tcW w:w="1507"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3145" w:type="dxa"/>
            <w:gridSpan w:val="5"/>
            <w:vAlign w:val="center"/>
          </w:tcPr>
          <w:p>
            <w:pPr>
              <w:spacing w:line="300" w:lineRule="exact"/>
              <w:jc w:val="left"/>
              <w:rPr>
                <w:rFonts w:ascii="方正书宋_GBK" w:eastAsia="方正书宋_GBK"/>
                <w:b/>
              </w:rPr>
            </w:pPr>
            <w:r>
              <w:rPr>
                <w:rFonts w:ascii="方正书宋_GBK" w:eastAsia="方正书宋_GBK" w:hint="eastAsia"/>
              </w:rPr>
              <w:t>保障信访群众工作中心日常运转</w:t>
            </w:r>
          </w:p>
        </w:tc>
      </w:tr>
      <w:tr>
        <w:trPr>
          <w:cantSplit/>
          <w:trHeight w:val="397"/>
          <w:tblHeader/>
        </w:trPr>
        <w:tc>
          <w:tcPr>
            <w:tcW w:w="150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23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327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372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220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170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507"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督办信访案件数量</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逐年增加</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信访事项按期结案率</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已按期办结的案件数量占案件总数的比例</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信访事项受理及时率</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及时受理信访事项数量占信访事项数量的比例</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按政策执行</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维护社会的和谐稳定</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妥善处置非访、突发性群体事件</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信访群众满意度</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反映信访群众满意度</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bl>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六、政府采购预算情况</w:t>
      </w:r>
    </w:p>
    <w:p>
      <w:pPr>
        <w:pStyle w:val="21"/>
      </w:pPr>
      <w:r>
        <w:rPr>
          <w:rFonts w:hint="eastAsia"/>
        </w:rPr>
        <w:t>2021年,深</w:t>
      </w:r>
      <w:r>
        <w:t>泽县</w:t>
      </w:r>
      <w:r>
        <w:rPr>
          <w:rFonts w:hint="eastAsia"/>
        </w:rPr>
        <w:t>信</w:t>
      </w:r>
      <w:r>
        <w:t>访局</w:t>
      </w:r>
      <w:r>
        <w:rPr>
          <w:rFonts w:hint="eastAsia"/>
        </w:rPr>
        <w:t>没有安排政府采购预算，政府采购预算金额为0万元。</w:t>
      </w:r>
    </w:p>
    <w:p>
      <w:pPr>
        <w:jc w:val="center"/>
        <w:outlineLvl w:val="0"/>
        <w:rPr>
          <w:rFonts w:ascii="仿宋_GB2312" w:eastAsia="仿宋_GB2312" w:cs="Times New Roman" w:hAnsi="黑体"/>
          <w:sz w:val="32"/>
          <w:szCs w:val="32"/>
        </w:rPr>
      </w:pPr>
      <w:r>
        <w:rPr>
          <w:rFonts w:ascii="方正小标宋_GBK" w:eastAsia="方正小标宋_GBK" w:cs="Times New Roman" w:hAnsi="Times New Roman" w:hint="eastAsia"/>
          <w:sz w:val="32"/>
        </w:rPr>
        <w:t>单位政府采购预算</w:t>
      </w:r>
    </w:p>
    <w:tbl>
      <w:tblPr>
        <w:jc w:val="center"/>
        <w:tblW w:w="137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23"/>
        <w:gridCol w:w="800"/>
        <w:gridCol w:w="1095"/>
        <w:gridCol w:w="1155"/>
        <w:gridCol w:w="675"/>
        <w:gridCol w:w="649"/>
        <w:gridCol w:w="885"/>
        <w:gridCol w:w="855"/>
        <w:gridCol w:w="840"/>
        <w:gridCol w:w="1185"/>
        <w:gridCol w:w="1020"/>
        <w:gridCol w:w="990"/>
        <w:gridCol w:w="870"/>
        <w:gridCol w:w="825"/>
      </w:tblGrid>
      <w:tr>
        <w:trPr>
          <w:tblHeader/>
        </w:trPr>
        <w:tc>
          <w:tcPr>
            <w:tcW w:w="7182"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left"/>
              <w:rPr>
                <w:rFonts w:ascii="方正书宋_GBK" w:hAnsi="方正书宋_GBK"/>
              </w:rPr>
            </w:pPr>
            <w:r>
              <w:rPr>
                <w:rFonts w:ascii="方正书宋_GBK" w:eastAsia="方正书宋_GBK" w:hint="eastAsia"/>
              </w:rPr>
              <w:t>542</w:t>
            </w:r>
            <w:r>
              <w:rPr>
                <w:rFonts w:ascii="方正书宋_GBK" w:eastAsia="方正书宋_GBK"/>
              </w:rPr>
              <w:t>001</w:t>
            </w:r>
            <w:r>
              <w:rPr>
                <w:rFonts w:ascii="方正书宋_GBK" w:eastAsia="方正书宋_GBK" w:hint="eastAsia"/>
              </w:rPr>
              <w:t>深泽县信访局</w:t>
            </w:r>
            <w:r>
              <w:rPr>
                <w:rFonts w:ascii="方正书宋_GBK" w:hAnsi="方正书宋_GBK" w:hint="eastAsia"/>
              </w:rPr>
              <w:t>本级</w:t>
            </w:r>
          </w:p>
        </w:tc>
        <w:tc>
          <w:tcPr>
            <w:tcW w:w="6585"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right"/>
              <w:rPr>
                <w:rFonts w:ascii="方正书宋_GBK" w:eastAsia="方正书宋_GBK"/>
              </w:rPr>
            </w:pPr>
            <w:r>
              <w:rPr>
                <w:rFonts w:ascii="方正书宋_GBK" w:eastAsia="方正书宋_GBK" w:hint="eastAsia"/>
              </w:rPr>
              <w:t>单位：万元</w:t>
            </w:r>
          </w:p>
        </w:tc>
      </w:tr>
      <w:tr>
        <w:trPr>
          <w:tblHeader/>
        </w:trPr>
        <w:tc>
          <w:tcPr>
            <w:tcW w:w="2723" w:type="dxa"/>
            <w:gridSpan w:val="2"/>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政府采购项目来源</w:t>
            </w:r>
          </w:p>
        </w:tc>
        <w:tc>
          <w:tcPr>
            <w:tcW w:w="109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采购物品名称</w:t>
            </w:r>
          </w:p>
        </w:tc>
        <w:tc>
          <w:tcPr>
            <w:tcW w:w="11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政府采购目录序号</w:t>
            </w:r>
          </w:p>
        </w:tc>
        <w:tc>
          <w:tcPr>
            <w:tcW w:w="67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649"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p>
        </w:tc>
        <w:tc>
          <w:tcPr>
            <w:tcW w:w="88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单价</w:t>
            </w:r>
          </w:p>
        </w:tc>
        <w:tc>
          <w:tcPr>
            <w:tcW w:w="6585" w:type="dxa"/>
            <w:gridSpan w:val="7"/>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政府采购金额</w:t>
            </w:r>
          </w:p>
        </w:tc>
      </w:tr>
      <w:tr>
        <w:trPr>
          <w:tblHeader/>
        </w:trPr>
        <w:tc>
          <w:tcPr>
            <w:tcW w:w="1923"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项目名称</w:t>
            </w:r>
          </w:p>
        </w:tc>
        <w:tc>
          <w:tcPr>
            <w:tcW w:w="800"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预算资金</w:t>
            </w: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总计</w:t>
            </w:r>
          </w:p>
        </w:tc>
        <w:tc>
          <w:tcPr>
            <w:tcW w:w="4905" w:type="dxa"/>
            <w:gridSpan w:val="5"/>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当年部门预算安排资金</w:t>
            </w:r>
          </w:p>
        </w:tc>
        <w:tc>
          <w:tcPr>
            <w:tcW w:w="82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其他渠道资金</w:t>
            </w:r>
          </w:p>
        </w:tc>
      </w:tr>
      <w:tr>
        <w:trPr>
          <w:tblHeader/>
        </w:trPr>
        <w:tc>
          <w:tcPr>
            <w:tcW w:w="1923" w:type="dxa"/>
            <w:vMerge/>
            <w:tcBorders>
              <w:top w:val="single" w:sz="6" w:space="0" w:color="000000"/>
              <w:left w:val="single" w:sz="6" w:space="0" w:color="000000"/>
              <w:bottom w:val="single" w:sz="6" w:space="0" w:color="000000"/>
              <w:right w:val="single" w:sz="6" w:space="0" w:color="000000"/>
            </w:tcBorders>
            <w:vAlign w:val="center"/>
          </w:tcPr>
          <w:p/>
        </w:tc>
        <w:tc>
          <w:tcPr>
            <w:tcW w:w="800" w:type="dxa"/>
            <w:vMerge/>
            <w:tcBorders>
              <w:top w:val="single" w:sz="6" w:space="0" w:color="000000"/>
              <w:left w:val="single" w:sz="6" w:space="0" w:color="000000"/>
              <w:bottom w:val="single" w:sz="6" w:space="0" w:color="000000"/>
              <w:right w:val="single" w:sz="6" w:space="0" w:color="000000"/>
            </w:tcBorders>
            <w:vAlign w:val="center"/>
          </w:tcP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tcBorders>
              <w:top w:val="single" w:sz="6" w:space="0" w:color="000000"/>
              <w:left w:val="single" w:sz="6" w:space="0" w:color="000000"/>
              <w:bottom w:val="single" w:sz="6" w:space="0" w:color="000000"/>
              <w:right w:val="single" w:sz="6" w:space="0" w:color="000000"/>
            </w:tcBorders>
            <w:vAlign w:val="center"/>
          </w:tc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合计</w:t>
            </w: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一般公共预算拨款</w:t>
            </w: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基金预算拨款</w:t>
            </w: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财政专户核拨</w:t>
            </w: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其他来源收入</w:t>
            </w:r>
          </w:p>
        </w:tc>
        <w:tc>
          <w:tcPr>
            <w:tcW w:w="825" w:type="dxa"/>
            <w:vMerge/>
            <w:tcBorders>
              <w:top w:val="single" w:sz="6" w:space="0" w:color="000000"/>
              <w:left w:val="single" w:sz="6" w:space="0" w:color="000000"/>
              <w:bottom w:val="single" w:sz="6" w:space="0" w:color="000000"/>
              <w:right w:val="single" w:sz="6" w:space="0" w:color="000000"/>
            </w:tcBorders>
            <w:vAlign w:val="center"/>
          </w:tcPr>
          <w:p/>
        </w:tc>
      </w:tr>
      <w:tr>
        <w:tc>
          <w:tcPr>
            <w:tcW w:w="1923"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Cs/>
              </w:rPr>
              <w:t>无</w:t>
            </w: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1155" w:type="dxa"/>
            <w:tcBorders>
              <w:top w:val="single" w:sz="6" w:space="0" w:color="000000"/>
              <w:left w:val="single" w:sz="6" w:space="0" w:color="000000"/>
              <w:bottom w:val="single" w:sz="6" w:space="0" w:color="000000"/>
              <w:right w:val="single" w:sz="6" w:space="0" w:color="000000"/>
            </w:tcBorders>
            <w:vAlign w:val="center"/>
          </w:tcPr>
          <w:p>
            <w:pPr>
              <w:widowControl/>
              <w:jc w:val="left"/>
              <w:textAlignment w:val="center"/>
              <w:rPr>
                <w:rFonts w:ascii="方正书宋_GBK" w:eastAsia="方正书宋_GBK"/>
                <w:b/>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r>
    </w:tbl>
    <w:p>
      <w:pPr>
        <w:autoSpaceDE w:val="0"/>
        <w:autoSpaceDN w:val="0"/>
        <w:adjustRightInd w:val="0"/>
        <w:jc w:val="left"/>
        <w:rPr>
          <w:rFonts w:eastAsia="仿宋"/>
          <w:sz w:val="28"/>
          <w:szCs w:val="28"/>
        </w:rPr>
      </w:pPr>
      <w:r>
        <w:rPr>
          <w:rFonts w:eastAsia="仿宋" w:hint="eastAsia"/>
          <w:sz w:val="28"/>
          <w:szCs w:val="28"/>
        </w:rPr>
        <w:t xml:space="preserve">    </w:t>
      </w:r>
      <w:r>
        <w:rPr>
          <w:rFonts w:eastAsia="方正仿宋_GBK" w:hint="eastAsia"/>
          <w:sz w:val="28"/>
        </w:rPr>
        <w:t>注：无政府采购预算安排，空表列示。</w:t>
      </w:r>
    </w:p>
    <w:p>
      <w:pPr>
        <w:spacing w:before="10" w:after="10"/>
        <w:ind w:firstLine="640"/>
        <w:outlineLvl w:val="2"/>
      </w:pPr>
      <w:r>
        <w:rPr>
          <w:rFonts w:ascii="黑体" w:eastAsia="黑体" w:cs="黑体" w:hAnsi="黑体"/>
          <w:color w:val="000000"/>
          <w:sz w:val="32"/>
        </w:rPr>
        <w:t>七、国有资产信息</w:t>
      </w:r>
    </w:p>
    <w:p>
      <w:pPr>
        <w:pStyle w:val="21"/>
        <w:ind w:firstLineChars="200" w:firstLine="560"/>
        <w:rPr>
          <w:color w:val="000000"/>
        </w:rPr>
      </w:pPr>
      <w:r>
        <w:rPr>
          <w:color w:val="000000"/>
        </w:rPr>
        <w:t>深泽县信访局</w:t>
      </w:r>
      <w:r>
        <w:rPr>
          <w:rFonts w:hint="eastAsia"/>
          <w:color w:val="000000"/>
        </w:rPr>
        <w:t>本级</w:t>
      </w:r>
      <w:r>
        <w:rPr>
          <w:color w:val="000000"/>
        </w:rPr>
        <w:t>上年末固定资产金额为43.67万元（详见下表）。本年度拟购置固定资产总额为0.00万元，已按要求列入政府采购预算，详见政府采购预算表。</w:t>
      </w:r>
    </w:p>
    <w:tbl>
      <w:tblPr>
        <w:tblpPr w:leftFromText="180" w:rightFromText="180" w:vertAnchor="text" w:horzAnchor="page" w:tblpX="1544" w:tblpY="31"/>
        <w:tblOverlap w:val="never"/>
        <w:tblW w:w="14263"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5401"/>
        <w:gridCol w:w="3155"/>
        <w:gridCol w:w="5707"/>
      </w:tblGrid>
      <w:tr>
        <w:trPr>
          <w:trHeight w:val="705"/>
        </w:trPr>
        <w:tc>
          <w:tcPr>
            <w:tcW w:w="14263" w:type="dxa"/>
            <w:gridSpan w:val="3"/>
            <w:tcBorders>
              <w:top w:val="nil"/>
              <w:left w:val="nil"/>
              <w:bottom w:val="nil"/>
              <w:right w:val="nil"/>
            </w:tcBorders>
            <w:vAlign w:val="center"/>
          </w:tcPr>
          <w:p>
            <w:pPr>
              <w:widowControl/>
              <w:jc w:val="center"/>
              <w:rPr>
                <w:rFonts w:ascii="仿宋" w:eastAsia="仿宋" w:cs="宋体" w:hAnsi="仿宋"/>
                <w:b/>
                <w:bCs/>
                <w:kern w:val="0"/>
                <w:sz w:val="32"/>
                <w:szCs w:val="32"/>
              </w:rPr>
            </w:pPr>
            <w:r>
              <w:rPr>
                <w:rFonts w:ascii="宋体" w:cs="宋体" w:hAnsi="宋体" w:hint="eastAsia"/>
                <w:b/>
                <w:bCs/>
                <w:kern w:val="0"/>
                <w:sz w:val="32"/>
                <w:szCs w:val="32"/>
              </w:rPr>
              <w:t>深泽县信访局固定资产占用情况表</w:t>
            </w:r>
          </w:p>
        </w:tc>
      </w:tr>
      <w:tr>
        <w:trPr>
          <w:trHeight w:val="510"/>
        </w:trPr>
        <w:tc>
          <w:tcPr>
            <w:tcW w:w="8556" w:type="dxa"/>
            <w:gridSpan w:val="2"/>
            <w:tcBorders>
              <w:top w:val="nil"/>
              <w:left w:val="nil"/>
              <w:bottom w:val="nil"/>
              <w:right w:val="nil"/>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5</w:t>
            </w:r>
            <w:r>
              <w:rPr>
                <w:rFonts w:ascii="仿宋" w:eastAsia="仿宋" w:cs="宋体" w:hAnsi="仿宋"/>
                <w:kern w:val="0"/>
                <w:sz w:val="32"/>
                <w:szCs w:val="32"/>
              </w:rPr>
              <w:t>42001</w:t>
            </w:r>
            <w:r>
              <w:rPr>
                <w:rFonts w:ascii="仿宋" w:eastAsia="仿宋" w:cs="宋体" w:hAnsi="仿宋" w:hint="eastAsia"/>
                <w:kern w:val="0"/>
                <w:sz w:val="32"/>
                <w:szCs w:val="32"/>
              </w:rPr>
              <w:t>深泽县信访局本</w:t>
            </w:r>
            <w:r>
              <w:rPr>
                <w:rFonts w:ascii="仿宋" w:eastAsia="仿宋" w:cs="宋体" w:hAnsi="仿宋"/>
                <w:kern w:val="0"/>
                <w:sz w:val="32"/>
                <w:szCs w:val="32"/>
              </w:rPr>
              <w:t>级</w:t>
            </w:r>
          </w:p>
        </w:tc>
        <w:tc>
          <w:tcPr>
            <w:tcW w:w="5707" w:type="dxa"/>
            <w:tcBorders>
              <w:top w:val="nil"/>
              <w:left w:val="nil"/>
              <w:bottom w:val="nil"/>
              <w:right w:val="nil"/>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 xml:space="preserve">截止时间：2020年12月31日  </w:t>
            </w:r>
          </w:p>
        </w:tc>
      </w:tr>
      <w:tr>
        <w:trPr>
          <w:trHeight w:val="645"/>
        </w:trPr>
        <w:tc>
          <w:tcPr>
            <w:tcW w:w="5401" w:type="dxa"/>
            <w:tcBorders>
              <w:top w:val="single" w:sz="4" w:space="0" w:color="auto"/>
              <w:left w:val="single" w:sz="4" w:space="0" w:color="auto"/>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项   目</w:t>
            </w:r>
          </w:p>
        </w:tc>
        <w:tc>
          <w:tcPr>
            <w:tcW w:w="3155" w:type="dxa"/>
            <w:tcBorders>
              <w:top w:val="single" w:sz="4" w:space="0" w:color="auto"/>
              <w:left w:val="nil"/>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数量</w:t>
            </w:r>
          </w:p>
        </w:tc>
        <w:tc>
          <w:tcPr>
            <w:tcW w:w="5707" w:type="dxa"/>
            <w:tcBorders>
              <w:top w:val="single" w:sz="4" w:space="0" w:color="auto"/>
              <w:left w:val="nil"/>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价值（金额单位：万元）</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资产总额</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43.67</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1、房屋（平方米）</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 xml:space="preserve">  其中：办公用房（平方米）</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2、车辆（台、辆）</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1</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10.28</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3、单价在20万元以上设备</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4、其他固定资产</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33.39</w:t>
            </w:r>
          </w:p>
        </w:tc>
      </w:tr>
    </w:tbl>
    <w:p>
      <w:pPr>
        <w:spacing w:before="10" w:after="10"/>
        <w:ind w:firstLine="640"/>
        <w:outlineLvl w:val="2"/>
        <w:rPr>
          <w:rFonts w:ascii="黑体" w:eastAsia="黑体" w:cs="黑体" w:hAnsi="黑体"/>
          <w:color w:val="000000"/>
          <w:sz w:val="32"/>
        </w:rPr>
      </w:pPr>
    </w:p>
    <w:p>
      <w:pPr>
        <w:spacing w:before="10" w:after="10"/>
        <w:ind w:firstLine="640"/>
        <w:outlineLvl w:val="2"/>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color w:val="000000"/>
          <w:sz w:val="28"/>
        </w:rPr>
        <w:t>县</w:t>
      </w:r>
      <w:r>
        <w:rPr>
          <w:rFonts w:eastAsia="方正仿宋_GBK"/>
          <w:color w:val="000000"/>
          <w:sz w:val="28"/>
        </w:rPr>
        <w:t>级财政预算管理的“三公”经费，是指</w:t>
      </w:r>
      <w:r>
        <w:rPr>
          <w:rFonts w:hint="eastAsia"/>
          <w:color w:val="000000"/>
          <w:sz w:val="28"/>
        </w:rPr>
        <w:t>预算</w:t>
      </w:r>
      <w:r>
        <w:rPr>
          <w:rFonts w:eastAsia="方正仿宋_GBK"/>
          <w:color w:val="000000"/>
          <w:sz w:val="28"/>
        </w:rPr>
        <w:t>部门</w:t>
      </w:r>
      <w:r>
        <w:rPr>
          <w:rFonts w:eastAsia="方正仿宋_GBK" w:hint="eastAsia"/>
          <w:color w:val="000000"/>
          <w:sz w:val="28"/>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ascii="黑体" w:eastAsia="黑体" w:cs="黑体" w:hAnsi="黑体"/>
          <w:color w:val="000000"/>
          <w:sz w:val="32"/>
        </w:rPr>
        <w:t>九、其他需要说明的事项</w:t>
      </w:r>
    </w:p>
    <w:p>
      <w:pPr>
        <w:spacing w:line="500" w:lineRule="exact"/>
        <w:ind w:firstLine="560"/>
        <w:rPr>
          <w:rFonts w:eastAsia="方正仿宋_GBK"/>
          <w:color w:val="000000"/>
          <w:sz w:val="28"/>
        </w:rPr>
      </w:pPr>
      <w:r>
        <w:rPr>
          <w:rFonts w:eastAsia="方正仿宋_GBK"/>
          <w:color w:val="000000"/>
          <w:sz w:val="28"/>
        </w:rPr>
        <w:t>我</w:t>
      </w:r>
      <w:r>
        <w:rPr>
          <w:rFonts w:eastAsia="方正仿宋_GBK" w:hint="eastAsia"/>
          <w:color w:val="000000"/>
          <w:sz w:val="28"/>
        </w:rPr>
        <w:t>单位</w:t>
      </w:r>
      <w:r>
        <w:rPr>
          <w:rFonts w:eastAsia="方正仿宋_GBK"/>
          <w:color w:val="000000"/>
          <w:sz w:val="28"/>
        </w:rPr>
        <w:t>无其他需要说明的事项。</w:t>
      </w:r>
    </w:p>
    <w:p>
      <w:pPr>
        <w:spacing w:line="500" w:lineRule="exact"/>
        <w:ind w:firstLine="560"/>
        <w:rPr>
          <w:rFonts w:eastAsia="方正仿宋_GBK"/>
          <w:color w:val="000000"/>
          <w:sz w:val="28"/>
        </w:rPr>
      </w:pPr>
    </w:p>
    <w:p>
      <w:pPr>
        <w:pStyle w:val="21"/>
        <w:rPr>
          <w:color w:val="000000"/>
        </w:rPr>
      </w:pPr>
    </w:p>
    <w:sectPr>
      <w:pgSz w:w="16838" w:h="11906" w:orient="landscape"/>
      <w:pgMar w:top="1361" w:right="1020" w:bottom="1361" w:left="1020" w:header="851" w:footer="992" w:gutter="0"/>
      <w:docGrid w:type="lines" w:linePitch="319" w:charSpace="0"/>
    </w:sectPr>
  </w:body>
</w:document>
</file>

<file path=word/fontTable.xml><?xml version="1.0" encoding="utf-8"?>
<w:fonts xmlns:w="http://schemas.openxmlformats.org/wordprocessingml/2006/main" xmlns:r="http://schemas.openxmlformats.org/officeDocument/2006/relationships">
  <w:font w:name="黑体">
    <w:panose1 w:val="02010600030101010101"/>
    <w:charset w:val="86"/>
    <w:family w:val="auto"/>
    <w:pitch w:val="variable"/>
    <w:sig w:usb0="800002BF" w:usb1="38CF7CFA" w:usb2="00000016" w:usb3="00000000" w:csb0="00040001" w:csb1="00000000"/>
  </w:font>
  <w:font w:name="方正楷体_GBK">
    <w:altName w:val="宋体"/>
    <w:panose1 w:val="00000000000000000000"/>
    <w:charset w:val="86"/>
    <w:family w:val="roman"/>
    <w:pitch w:val="variable"/>
    <w:sig w:usb0="00000000" w:usb1="00000000" w:usb2="00000000" w:usb3="00000000" w:csb0="00000000" w:csb1="00000000"/>
  </w:font>
  <w:font w:name="方正小标宋_GBK">
    <w:altName w:val="宋体"/>
    <w:panose1 w:val="00000000000000000000"/>
    <w:charset w:val="86"/>
    <w:family w:val="roman"/>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Times New Roman">
    <w:panose1 w:val="02020603050405020304"/>
    <w:charset w:val="00"/>
    <w:family w:val="roman"/>
    <w:pitch w:val="variable"/>
    <w:sig w:usb0="20007A87" w:usb1="80000000" w:usb2="00000008" w:usb3="00000000" w:csb0="000001FF" w:csb1="00000000"/>
  </w:font>
  <w:font w:name="方正仿宋_GBK">
    <w:altName w:val="宋体"/>
    <w:panose1 w:val="00000000000000000000"/>
    <w:charset w:val="86"/>
    <w:family w:val="roman"/>
    <w:pitch w:val="variable"/>
    <w:sig w:usb0="00000000" w:usb1="00000000" w:usb2="00000000" w:usb3="00000000" w:csb0="00000000" w:csb1="00000000"/>
  </w:font>
  <w:font w:name="仿宋_GB2312">
    <w:altName w:val="仿宋"/>
    <w:panose1 w:val="02010609030101010101"/>
    <w:charset w:val="86"/>
    <w:family w:val="modern"/>
    <w:pitch w:val="variable"/>
    <w:sig w:usb0="00000001" w:usb1="080E0000" w:usb2="00000000" w:usb3="00000000" w:csb0="00040000" w:csb1="00000000"/>
  </w:font>
  <w:font w:name="方正书宋_GBK">
    <w:altName w:val="宋体"/>
    <w:panose1 w:val="00000000000000000000"/>
    <w:charset w:val="86"/>
    <w:family w:val="roman"/>
    <w:pitch w:val="variable"/>
    <w:sig w:usb0="00000000" w:usb1="00000000" w:usb2="00000000" w:usb3="00000000" w:csb0="00000000" w:csb1="00000000"/>
  </w:font>
  <w:font w:name="仿宋">
    <w:panose1 w:val="02010609060101010101"/>
    <w:charset w:val="86"/>
    <w:family w:val="modern"/>
    <w:pitch w:val="variable"/>
    <w:sig w:usb0="800002BF" w:usb1="38CF7CFA" w:usb2="00000016" w:usb3="00000000" w:csb0="00040001" w:csb1="00000000"/>
  </w:font>
  <w:font w:name="方正黑体_GBK">
    <w:altName w:val="宋体"/>
    <w:panose1 w:val="00000000000000000000"/>
    <w:charset w:val="86"/>
    <w:family w:val="roman"/>
    <w:pitch w:val="variable"/>
    <w:sig w:usb0="00000000" w:usb1="00000000" w:usb2="00000000" w:usb3="00000000" w:csb0="00040001" w:csb1="00000000"/>
  </w:font>
  <w:font w:name="Arial">
    <w:panose1 w:val="020B0604020202020204"/>
    <w:charset w:val="01"/>
    <w:family w:val="swiss"/>
    <w:pitch w:val="variable"/>
    <w:sig w:usb0="E0002EFF" w:usb1="C000785B" w:usb2="00000009" w:usb3="00000000" w:csb0="400001FF" w:csb1="FFFF0000"/>
  </w:font>
  <w:font w:name="Calibri">
    <w:panose1 w:val="020F0502020204030204"/>
    <w:charset w:val="00"/>
    <w:family w:val="swiss"/>
    <w:pitch w:val="variable"/>
    <w:sig w:usb0="E4002EFF" w:usb1="C000247B" w:usb2="00000009" w:usb3="00000000" w:csb0="2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26</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18</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A0075974"/>
    <w:multiLevelType w:val="singleLevel"/>
    <w:tmpl w:val="A0075974"/>
    <w:lvl w:ilvl="0">
      <w:start w:val="2"/>
      <w:numFmt w:val="chineseCounting"/>
      <w:lvlRestart w:val="0"/>
      <w:suff w:val="space"/>
      <w:lvlText w:val="第%1部分"/>
      <w:lvlJc w:val="left"/>
      <w:pPr>
        <w:ind w:left="0" w:hanging="0"/>
      </w:pPr>
      <w:rPr>
        <w:rFonts w:hint="eastAsia"/>
      </w:rPr>
    </w:lvl>
  </w:abstractNum>
  <w:abstractNum w:abstractNumId="1">
    <w:nsid w:val="EF091CF1"/>
    <w:multiLevelType w:val="singleLevel"/>
    <w:tmpl w:val="EF091CF1"/>
    <w:lvl w:ilvl="0">
      <w:start w:val="3"/>
      <w:numFmt w:val="decimal"/>
      <w:lvlRestart w:val="0"/>
      <w:lvlText w:val="%1."/>
      <w:lvlJc w:val="left"/>
      <w:pPr>
        <w:tabs>
          <w:tab w:val="num" w:pos="312"/>
        </w:tabs>
        <w:ind w:left="0" w:hanging="0"/>
      </w:pPr>
    </w:lvl>
  </w:abstractNum>
  <w:abstractNum w:abstractNumId="2">
    <w:nsid w:val="58C86AF8"/>
    <w:multiLevelType w:val="singleLevel"/>
    <w:tmpl w:val="58C86AF8"/>
    <w:lvl w:ilvl="0">
      <w:start w:val="5"/>
      <w:numFmt w:val="chineseCounting"/>
      <w:lvlRestart w:val="0"/>
      <w:suff w:val="nothing"/>
      <w:lvlText w:val="%1、"/>
      <w:lvlJc w:val="left"/>
      <w:pPr>
        <w:ind w:left="0" w:hanging="0"/>
      </w:pPr>
      <w:rPr>
        <w:rFonts w:hint="eastAsia"/>
      </w:rPr>
    </w:lvl>
  </w:abstractNum>
  <w:num w:numId="1">
    <w:abstractNumId w:val="0"/>
  </w:num>
  <w:num w:numId="2">
    <w:abstractNumId w:val="1"/>
  </w:num>
  <w:num w:numId="3">
    <w:abstractNumId w:val="2"/>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6"/>
  <w:bordersDoNotSurroundHeader/>
  <w:bordersDoNotSurroundFooter/>
  <w:documentProtection w:edit="readOnly" w:enforcement="0"/>
  <w:defaultTabStop w:val="420"/>
  <w:drawingGridHorizontalSpacing w:val="105"/>
  <w:drawingGridVerticalSpacing w:val="159"/>
  <w:displayHorizontalDrawingGridEvery w:val="0"/>
  <w:displayVerticalDrawingGridEvery w:val="1"/>
  <w:noPunctuationKerning/>
  <w:characterSpacingControl w:val="compressPunctuation"/>
  <w:compat>
    <w:spaceForUL/>
    <w:balanceSingleByteDoubleByteWidth/>
    <w:ulTrailSpace/>
    <w:doNotExpandShiftReturn/>
    <w:adjustLineHeightInTable/>
    <w:doNotUseIndentAsNumberingTabStop/>
    <w:useAltKinsokuLineBreakRules/>
    <w:compatSetting w:name="compatibilityMode" w:uri="http://schemas.microsoft.com/office/word" w:val="14"/>
  </w:compat>
  <w:docVars>
    <w:docVar w:name="commondata" w:val="eyJoZGlkIjoiMmE5MTNiNjI1NzAxMjM3MGNjM2M1ZjRiMjMwOWI4MTA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Arial" w:hAnsi="Times New Roman"/>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Balloon Text"/>
    <w:basedOn w:val="0"/>
    <w:rPr>
      <w:sz w:val="18"/>
      <w:szCs w:val="18"/>
    </w:rPr>
  </w:style>
  <w:style w:type="paragraph" w:styleId="16">
    <w:name w:val="toc 1"/>
    <w:basedOn w:val="0"/>
    <w:next w:val="0"/>
    <w:pPr>
      <w:spacing w:before="120"/>
      <w:ind w:firstLine="560"/>
    </w:pPr>
    <w:rPr>
      <w:rFonts w:eastAsia="方正仿宋_GBK"/>
      <w:color w:val="000000"/>
      <w:sz w:val="28"/>
    </w:rPr>
  </w:style>
  <w:style w:type="paragraph" w:customStyle="1" w:styleId="17">
    <w:name w:val="插入文本样式-插入部门职责文件"/>
    <w:basedOn w:val="0"/>
    <w:pPr>
      <w:spacing w:line="500" w:lineRule="exact"/>
      <w:ind w:firstLine="560"/>
    </w:pPr>
    <w:rPr>
      <w:rFonts w:eastAsia="方正仿宋_GBK"/>
      <w:sz w:val="28"/>
    </w:rPr>
  </w:style>
  <w:style w:type="paragraph" w:customStyle="1" w:styleId="18">
    <w:name w:val="单元格样式1"/>
    <w:basedOn w:val="0"/>
    <w:pPr>
      <w:jc w:val="center"/>
    </w:pPr>
    <w:rPr>
      <w:rFonts w:ascii="方正书宋_GBK" w:eastAsia="方正书宋_GBK" w:cs="方正书宋_GBK" w:hAnsi="方正书宋_GBK"/>
      <w:b/>
    </w:rPr>
  </w:style>
  <w:style w:type="paragraph" w:customStyle="1" w:styleId="19">
    <w:name w:val="单元格样式2"/>
    <w:basedOn w:val="0"/>
    <w:rPr>
      <w:rFonts w:ascii="方正书宋_GBK" w:eastAsia="方正书宋_GBK" w:cs="方正书宋_GBK" w:hAnsi="方正书宋_GBK"/>
    </w:rPr>
  </w:style>
  <w:style w:type="paragraph" w:customStyle="1" w:styleId="20">
    <w:name w:val="单元格样式3"/>
    <w:basedOn w:val="0"/>
    <w:pPr>
      <w:jc w:val="center"/>
    </w:pPr>
    <w:rPr>
      <w:rFonts w:ascii="方正书宋_GBK" w:eastAsia="方正书宋_GBK" w:cs="方正书宋_GBK" w:hAnsi="方正书宋_GBK"/>
    </w:rPr>
  </w:style>
  <w:style w:type="paragraph" w:customStyle="1" w:styleId="21">
    <w:name w:val="插入文本样式-插入预算公开部门预算安排的总体情况文件"/>
    <w:basedOn w:val="0"/>
    <w:pPr>
      <w:spacing w:line="500" w:lineRule="exact"/>
      <w:ind w:firstLine="560"/>
    </w:pPr>
    <w:rPr>
      <w:rFonts w:eastAsia="方正仿宋_GBK"/>
      <w:sz w:val="28"/>
    </w:rPr>
  </w:style>
  <w:style w:type="paragraph" w:customStyle="1" w:styleId="22">
    <w:name w:val="[Normal]"/>
    <w:pPr>
      <w:widowControl w:val="0"/>
      <w:autoSpaceDE w:val="0"/>
      <w:autoSpaceDN w:val="0"/>
      <w:adjustRightInd w:val="0"/>
    </w:pPr>
    <w:rPr>
      <w:rFonts w:ascii="宋体" w:eastAsia="宋体" w:cs="Times New Roman" w:hAnsi="宋体"/>
      <w:sz w:val="24"/>
      <w:szCs w:val="20"/>
      <w:lang w:val="en-US" w:eastAsia="zh-CN" w:bidi="ar-SA"/>
    </w:rPr>
  </w:style>
  <w:style w:type="paragraph" w:customStyle="1" w:styleId="23">
    <w:name w:val="插入文本样式-插入实现年度发展规划目标的保障措施文件"/>
    <w:basedOn w:val="0"/>
    <w:pPr>
      <w:spacing w:line="500" w:lineRule="exact"/>
      <w:ind w:firstLine="560"/>
    </w:pPr>
    <w:rPr>
      <w:rFonts w:eastAsia="方正仿宋_GBK"/>
      <w:sz w:val="28"/>
    </w:rPr>
  </w:style>
  <w:style w:type="paragraph" w:customStyle="1" w:styleId="24">
    <w:name w:val="插入文本样式-插入单位职责文件"/>
    <w:basedOn w:val="0"/>
    <w:pPr>
      <w:spacing w:line="500" w:lineRule="exact"/>
      <w:ind w:firstLine="560"/>
    </w:pPr>
    <w:rPr>
      <w:rFonts w:eastAsia="方正仿宋_GBK"/>
      <w:sz w:val="28"/>
    </w:rPr>
  </w:style>
  <w:style w:type="paragraph" w:customStyle="1" w:styleId="25">
    <w:name w:val="插入文本样式-插入预算公开单位预算安排的总体情况文件"/>
    <w:basedOn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customProps>
</customData>
</file>

<file path=customXml/itemProps1.xml><?xml version="1.0" encoding="utf-8"?>
<ds:datastoreItem xmlns:ds="http://schemas.openxmlformats.org/officeDocument/2006/customXml" ds:itemID="{AE0F3A92-52E0-4547-88A7-BC8FBDEEE1D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28</TotalTime>
  <Application>Yozo_Office27021597764231179</Application>
  <Pages>47</Pages>
  <Words>0</Words>
  <Characters>15069</Characters>
  <Lines>0</Lines>
  <Paragraphs>455</Paragraphs>
  <CharactersWithSpaces>20092</CharactersWithSpaces>
  <Company>DoubleOX</Company>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8</cp:revision>
  <cp:lastPrinted>2022-09-16T02:28:00Z</cp:lastPrinted>
  <dcterms:created xsi:type="dcterms:W3CDTF">2014-10-29T12:08:00Z</dcterms:created>
  <dcterms:modified xsi:type="dcterms:W3CDTF">2024-06-11T06:57:31Z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2052-11.1.0.12358</vt:lpwstr>
  </property>
  <property fmtid="{D5CDD505-2E9C-101B-9397-08002B2CF9AE}" pid="3" name="ICV">
    <vt:lpwstr>C96EDBA1756640F39F6E7422E5097AB6</vt:lpwstr>
  </property>
</Properties>
</file>