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60" w:lineRule="exact"/>
        <w:jc w:val="center"/>
        <w:rPr>
          <w:rFonts w:ascii="SimSun" w:cs="SimSun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SimSun" w:cs="SimSun"/>
          <w:b/>
          <w:bCs/>
          <w:sz w:val="44"/>
          <w:szCs w:val="44"/>
        </w:rPr>
      </w:pPr>
      <w:r>
        <w:rPr>
          <w:rFonts w:ascii="SimSun" w:cs="SimSun"/>
          <w:b/>
          <w:bCs/>
          <w:sz w:val="44"/>
          <w:szCs w:val="44"/>
        </w:rPr>
        <w:t>深泽县水利局</w:t>
      </w:r>
    </w:p>
    <w:p>
      <w:pPr>
        <w:spacing w:line="560" w:lineRule="exact"/>
        <w:jc w:val="center"/>
        <w:rPr>
          <w:rFonts w:ascii="SimSun" w:cs="SimSun"/>
          <w:b/>
          <w:bCs/>
          <w:sz w:val="44"/>
          <w:szCs w:val="44"/>
        </w:rPr>
      </w:pPr>
      <w:r>
        <w:rPr>
          <w:rFonts w:ascii="SimSun" w:cs="SimSun" w:hint="eastAsia"/>
          <w:b/>
          <w:bCs/>
          <w:sz w:val="44"/>
          <w:szCs w:val="44"/>
        </w:rPr>
        <w:t>2023年度整体支出绩效自评报告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ascii="仿宋" w:eastAsia="仿宋"/>
          <w:sz w:val="32"/>
          <w:szCs w:val="32"/>
        </w:rPr>
        <w:t>深泽县水利局</w:t>
      </w:r>
      <w:r>
        <w:rPr>
          <w:rFonts w:ascii="仿宋" w:eastAsia="仿宋" w:hint="eastAsia"/>
          <w:sz w:val="32"/>
          <w:szCs w:val="32"/>
        </w:rPr>
        <w:t>2023年整体支出情况实施了财政支出绩效自评价，形成本评价报告。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SimHei" w:eastAsia="SimHei"/>
          <w:b/>
          <w:bCs/>
          <w:sz w:val="32"/>
          <w:szCs w:val="36"/>
        </w:rPr>
      </w:pPr>
      <w:r>
        <w:rPr>
          <w:rFonts w:ascii="SimHei" w:eastAsia="SimHei" w:hint="eastAsia"/>
          <w:sz w:val="32"/>
          <w:szCs w:val="32"/>
        </w:rPr>
        <w:t xml:space="preserve">     一、部门</w:t>
      </w:r>
      <w:r>
        <w:rPr>
          <w:rFonts w:ascii="SimHei" w:eastAsia="SimHei" w:hint="eastAsia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/>
          <w:bCs/>
          <w:sz w:val="32"/>
          <w:szCs w:val="32"/>
        </w:rPr>
      </w:pPr>
      <w:r>
        <w:rPr>
          <w:rFonts w:ascii="楷体" w:eastAsia="楷体" w:cs="楷体_GB2312" w:hint="eastAsia"/>
          <w:bCs/>
          <w:sz w:val="32"/>
          <w:szCs w:val="32"/>
        </w:rPr>
        <w:t>（一）部门概况</w:t>
      </w:r>
    </w:p>
    <w:p>
      <w:pPr>
        <w:pStyle w:val="18"/>
        <w:spacing w:line="560" w:lineRule="exact"/>
        <w:ind w:firstLine="561"/>
        <w:rPr>
          <w:rFonts w:ascii="仿宋" w:eastAsia="仿宋" w:hint="eastAsia"/>
          <w:sz w:val="32"/>
          <w:szCs w:val="32"/>
        </w:rPr>
      </w:pPr>
      <w:r>
        <w:rPr>
          <w:rFonts w:ascii="华文楷体" w:eastAsia="华文楷体" w:hint="eastAsia"/>
          <w:sz w:val="32"/>
          <w:szCs w:val="32"/>
        </w:rPr>
        <w:t>1.部门职能。</w:t>
      </w:r>
      <w:r>
        <w:rPr>
          <w:rFonts w:ascii="仿宋" w:eastAsia="仿宋" w:hint="eastAsia"/>
          <w:sz w:val="32"/>
          <w:szCs w:val="32"/>
        </w:rPr>
        <w:t>负责保障水资源合理开发利用，拟定水利战略规划，组织编制权限水资源战略规划，重要河流流域规划，防洪规划等重大 水利规划;负责生活、生产经营和生态环境用水的统筹和保障;按规定制定水利工程建设有关制度并组织实施，负责提出县级水利固定资产投资规模、方向、具体安排建议并组织指导实施;负责水资源保护,负责节约用水工作;负责水利设施、水域及岸线的管理、保护与综合利用;负责监督水利工程建设与运行管理,水土保持工作</w:t>
      </w:r>
      <w:r>
        <w:rPr>
          <w:rFonts w:ascii="仿宋" w:eastAsia="仿宋"/>
          <w:sz w:val="32"/>
          <w:szCs w:val="32"/>
        </w:rPr>
        <w:t>及</w:t>
      </w:r>
      <w:r>
        <w:rPr>
          <w:rFonts w:ascii="仿宋" w:eastAsia="仿宋" w:hint="eastAsia"/>
          <w:sz w:val="32"/>
          <w:szCs w:val="32"/>
        </w:rPr>
        <w:t>指导农村水利工作。</w:t>
      </w:r>
    </w:p>
    <w:p>
      <w:pPr>
        <w:pStyle w:val="18"/>
        <w:spacing w:line="560" w:lineRule="exact"/>
        <w:ind w:firstLine="561"/>
      </w:pPr>
      <w:r>
        <w:rPr>
          <w:rFonts w:ascii="华文楷体" w:eastAsia="华文楷体" w:hint="eastAsia"/>
          <w:sz w:val="32"/>
          <w:szCs w:val="32"/>
        </w:rPr>
        <w:t>2.组织机构及人员</w:t>
      </w:r>
      <w:r>
        <w:t>。</w:t>
      </w:r>
      <w:r>
        <w:rPr>
          <w:rFonts w:ascii="仿宋" w:eastAsia="仿宋" w:hint="eastAsia"/>
          <w:sz w:val="32"/>
          <w:szCs w:val="32"/>
        </w:rPr>
        <w:t>水利局是一级预算单位，经费保障形式为财政拨款单位，执行政府会计制度。截止到2023年12月31日水利局编制人数</w:t>
      </w:r>
      <w:r>
        <w:rPr>
          <w:rFonts w:ascii="仿宋" w:eastAsia="仿宋"/>
          <w:sz w:val="32"/>
          <w:szCs w:val="32"/>
        </w:rPr>
        <w:t>55</w:t>
      </w:r>
      <w:r>
        <w:rPr>
          <w:rFonts w:ascii="仿宋" w:eastAsia="仿宋" w:hint="eastAsia"/>
          <w:sz w:val="32"/>
          <w:szCs w:val="32"/>
        </w:rPr>
        <w:t>人，年末实有人数3</w:t>
      </w:r>
      <w:r>
        <w:rPr>
          <w:rFonts w:ascii="仿宋" w:eastAsia="仿宋"/>
          <w:sz w:val="32"/>
          <w:szCs w:val="32"/>
        </w:rPr>
        <w:t>7</w:t>
      </w:r>
      <w:r>
        <w:rPr>
          <w:rFonts w:ascii="仿宋" w:eastAsia="仿宋" w:hint="eastAsia"/>
          <w:sz w:val="32"/>
          <w:szCs w:val="32"/>
        </w:rPr>
        <w:t>人。</w:t>
      </w:r>
    </w:p>
    <w:p>
      <w:pPr>
        <w:pStyle w:val="18"/>
        <w:spacing w:line="560" w:lineRule="exact"/>
        <w:ind w:firstLine="561"/>
        <w:rPr>
          <w:rFonts w:ascii="仿宋" w:eastAsia="仿宋" w:hint="eastAsia"/>
          <w:sz w:val="32"/>
          <w:szCs w:val="32"/>
        </w:rPr>
      </w:pPr>
      <w:r>
        <w:rPr>
          <w:rFonts w:ascii="华文楷体" w:eastAsia="华文楷体" w:hint="eastAsia"/>
          <w:sz w:val="32"/>
          <w:szCs w:val="32"/>
        </w:rPr>
        <w:t>3.资产情况</w:t>
      </w:r>
      <w:r>
        <w:t>。</w:t>
      </w:r>
      <w:r>
        <w:rPr>
          <w:rFonts w:ascii="仿宋" w:eastAsia="仿宋" w:hint="eastAsia"/>
          <w:sz w:val="32"/>
          <w:szCs w:val="32"/>
        </w:rPr>
        <w:t>截止到2023年12月31日，我部门资产总额（账面净值，下同）343.08万元，负债总额13.65万元，净资产329.43万元。</w:t>
      </w:r>
    </w:p>
    <w:p>
      <w:pPr>
        <w:adjustRightInd w:val="0"/>
        <w:snapToGrid w:val="0"/>
        <w:spacing w:line="560" w:lineRule="exact"/>
        <w:ind w:left="0" w:firstLineChars="100" w:firstLine="320"/>
        <w:rPr>
          <w:rFonts w:ascii="楷体" w:eastAsia="楷体" w:cs="楷体_GB2312"/>
          <w:bCs/>
          <w:sz w:val="32"/>
          <w:szCs w:val="32"/>
        </w:rPr>
      </w:pPr>
      <w:r>
        <w:rPr>
          <w:rFonts w:ascii="楷体" w:eastAsia="楷体" w:cs="楷体_GB2312" w:hint="eastAsia"/>
          <w:bCs/>
          <w:sz w:val="32"/>
          <w:szCs w:val="32"/>
        </w:rPr>
        <w:t>（二）部门收支预决算情况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/>
          <w:bCs/>
          <w:sz w:val="32"/>
          <w:szCs w:val="32"/>
        </w:rPr>
        <w:t>1.</w:t>
      </w:r>
      <w:r>
        <w:rPr>
          <w:rFonts w:ascii="华文楷体" w:eastAsia="华文楷体" w:cs="楷体_GB2312" w:hint="eastAsia"/>
          <w:bCs/>
          <w:sz w:val="32"/>
          <w:szCs w:val="32"/>
        </w:rPr>
        <w:t>预算收支情况。</w:t>
      </w:r>
      <w:r>
        <w:rPr>
          <w:rFonts w:ascii="仿宋" w:eastAsia="仿宋" w:cs="楷体_GB2312" w:hint="eastAsia"/>
          <w:bCs/>
          <w:sz w:val="32"/>
          <w:szCs w:val="32"/>
        </w:rPr>
        <w:t>2023年水利局部门预算收入</w:t>
      </w:r>
      <w:r>
        <w:rPr>
          <w:rFonts w:ascii="仿宋" w:eastAsia="仿宋" w:cs="楷体_GB2312"/>
          <w:bCs/>
          <w:sz w:val="32"/>
          <w:szCs w:val="32"/>
        </w:rPr>
        <w:t>13530.1万元，其中一般公共预算收入6097.66万元，政府性基金收入7432.44万元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/>
          <w:bCs/>
          <w:sz w:val="32"/>
          <w:szCs w:val="32"/>
        </w:rPr>
        <w:t>2.</w:t>
      </w:r>
      <w:r>
        <w:rPr>
          <w:rFonts w:ascii="华文楷体" w:eastAsia="华文楷体" w:cs="楷体_GB2312" w:hint="eastAsia"/>
          <w:bCs/>
          <w:sz w:val="32"/>
          <w:szCs w:val="32"/>
        </w:rPr>
        <w:t>决算收支情况。</w:t>
      </w:r>
      <w:r>
        <w:rPr>
          <w:rFonts w:ascii="仿宋" w:eastAsia="仿宋" w:cs="楷体_GB2312" w:hint="eastAsia"/>
          <w:bCs/>
          <w:sz w:val="32"/>
          <w:szCs w:val="32"/>
        </w:rPr>
        <w:t>2023年水利局部门决算支出13530.1万元，其中基本支出1206.08万元，项目支出12324.02万元。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/>
          <w:bCs/>
          <w:sz w:val="32"/>
          <w:szCs w:val="32"/>
        </w:rPr>
      </w:pPr>
      <w:r>
        <w:rPr>
          <w:rFonts w:ascii="楷体" w:eastAsia="楷体" w:cs="楷体_GB2312" w:hint="eastAsia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负责生产生活用水统筹和保障，规划制定水利工程建设有关制度并组织实施。负责水资源保护工作，节约用水工作、负责水土保持工作、指导农村水利工作</w:t>
      </w:r>
      <w:r>
        <w:rPr>
          <w:rFonts w:ascii="仿宋" w:eastAsia="仿宋"/>
          <w:sz w:val="32"/>
          <w:szCs w:val="32"/>
        </w:rPr>
        <w:t>的完成</w:t>
      </w:r>
      <w:r>
        <w:rPr>
          <w:rFonts w:ascii="仿宋" w:eastAsia="仿宋" w:hint="eastAsia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SimHei" w:eastAsia="SimHei"/>
          <w:sz w:val="32"/>
          <w:szCs w:val="32"/>
        </w:rPr>
      </w:pPr>
      <w:r>
        <w:rPr>
          <w:rFonts w:ascii="SimHei" w:eastAsia="SimHei" w:hint="eastAsia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eastAsia="楷体" w:cs="楷体_GB2312"/>
          <w:sz w:val="32"/>
          <w:szCs w:val="32"/>
        </w:rPr>
      </w:pPr>
      <w:r>
        <w:rPr>
          <w:rFonts w:ascii="仿宋" w:eastAsia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int="eastAsia"/>
          <w:bCs/>
          <w:sz w:val="32"/>
          <w:szCs w:val="32"/>
        </w:rPr>
        <w:t>（一）自评的组织工作</w:t>
      </w:r>
    </w:p>
    <w:p>
      <w:pPr>
        <w:spacing w:line="560" w:lineRule="exact"/>
        <w:ind w:firstLineChars="200" w:firstLine="640"/>
        <w:rPr>
          <w:rFonts w:ascii="仿宋" w:eastAsia="仿宋"/>
          <w:sz w:val="32"/>
          <w:szCs w:val="32"/>
        </w:rPr>
      </w:pPr>
      <w:r>
        <w:rPr>
          <w:rFonts w:ascii="仿宋" w:eastAsia="仿宋"/>
          <w:sz w:val="32"/>
          <w:szCs w:val="32"/>
        </w:rPr>
        <w:t>为加强对预算绩效管理工作的组织领导，根据项目和人员变动情况，我局及时调整成立了以局长为组长、各副局长为副组长，项目管理责任科室主要负责人为成员的预算绩效管理工作领导小组，领导小组下设办公室，由财务科科长兼任办公室主任，成员由财务科和相关科室人员组成，各项目管理责任科室也成立了项目预算绩效评价工作机构，健全了预算绩效管理工作机构，充实了预算绩效管理人员，确保了预算绩效管理和资金使用。</w:t>
      </w:r>
    </w:p>
    <w:p>
      <w:pPr>
        <w:numPr>
          <w:ilvl w:val="0"/>
          <w:numId w:val="1"/>
        </w:numPr>
        <w:spacing w:line="560" w:lineRule="exact"/>
        <w:rPr>
          <w:rFonts w:ascii="楷体" w:eastAsia="楷体" w:cs="楷体_GB2312"/>
          <w:bCs/>
          <w:sz w:val="32"/>
          <w:szCs w:val="32"/>
        </w:rPr>
      </w:pPr>
      <w:r>
        <w:rPr>
          <w:rFonts w:ascii="楷体" w:eastAsia="楷体" w:cs="楷体_GB2312" w:hint="eastAsia"/>
          <w:bCs/>
          <w:sz w:val="32"/>
          <w:szCs w:val="32"/>
        </w:rPr>
        <w:t>自评的方法和过程</w:t>
      </w:r>
    </w:p>
    <w:p>
      <w:pPr>
        <w:spacing w:line="560" w:lineRule="exact"/>
        <w:ind w:firstLineChars="200" w:firstLine="640"/>
        <w:rPr>
          <w:rFonts w:ascii="仿宋" w:eastAsia="仿宋" w:hint="eastAsia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根据《深泽县财政局关于开展2023年度预算项目绩效自评工作的通知》（深财监【2024】1号）文件要求，</w:t>
      </w:r>
      <w:r>
        <w:rPr>
          <w:rFonts w:ascii="仿宋" w:eastAsia="仿宋"/>
          <w:sz w:val="32"/>
          <w:szCs w:val="32"/>
        </w:rPr>
        <w:t>我局组织相关人员认真学习绩效评价有关政策，了解评价程序和要求，</w:t>
      </w:r>
      <w:r>
        <w:rPr>
          <w:rFonts w:ascii="仿宋" w:eastAsia="仿宋" w:hint="eastAsia"/>
          <w:sz w:val="32"/>
          <w:szCs w:val="32"/>
        </w:rPr>
        <w:t>切实加强</w:t>
      </w:r>
      <w:r>
        <w:rPr>
          <w:rFonts w:ascii="仿宋" w:eastAsia="仿宋" w:cs="仿宋_GB2312" w:hint="eastAsia"/>
          <w:sz w:val="32"/>
          <w:szCs w:val="32"/>
          <w:lang w:bidi="ar-SA"/>
        </w:rPr>
        <w:t>预算绩效管理工作，提高财政资金使用效益和管理科学化、精细化水平，</w:t>
      </w:r>
      <w:r>
        <w:rPr>
          <w:rFonts w:ascii="仿宋" w:eastAsia="仿宋" w:hint="eastAsia"/>
          <w:sz w:val="32"/>
          <w:szCs w:val="32"/>
        </w:rPr>
        <w:t>结合项目实施科室即刻展开自评工作</w:t>
      </w:r>
      <w:r>
        <w:rPr>
          <w:rFonts w:ascii="仿宋" w:eastAsia="仿宋"/>
          <w:sz w:val="32"/>
          <w:szCs w:val="32"/>
        </w:rPr>
        <w:t>，确保按规定程序完成绩效自评工作</w:t>
      </w:r>
      <w:r>
        <w:rPr>
          <w:rFonts w:ascii="仿宋" w:eastAsia="仿宋" w:hint="eastAsia"/>
          <w:sz w:val="32"/>
          <w:szCs w:val="32"/>
        </w:rPr>
        <w:t>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楷体" w:eastAsia="楷体" w:cs="楷体_GB2312"/>
          <w:bCs/>
          <w:sz w:val="32"/>
          <w:szCs w:val="32"/>
        </w:rPr>
        <w:t>1.确定自评主体和自评范围。</w:t>
      </w:r>
      <w:r>
        <w:rPr>
          <w:rFonts w:ascii="仿宋" w:eastAsia="仿宋" w:cs="楷体_GB2312" w:hint="eastAsia"/>
          <w:bCs/>
          <w:sz w:val="32"/>
          <w:szCs w:val="32"/>
        </w:rPr>
        <w:t>预算项目绩效自评主体为局机关各项目资金科室，评价范围按照全覆盖原则，对2023年度所有县级预算项目进行绩效自评。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 w:hint="eastAsia"/>
          <w:bCs/>
          <w:sz w:val="32"/>
          <w:szCs w:val="32"/>
        </w:rPr>
        <w:t>2.分解与核对县级预算项目。</w:t>
      </w:r>
      <w:r>
        <w:rPr>
          <w:rFonts w:ascii="仿宋" w:eastAsia="仿宋" w:cs="楷体_GB2312" w:hint="eastAsia"/>
          <w:bCs/>
          <w:sz w:val="32"/>
          <w:szCs w:val="32"/>
        </w:rPr>
        <w:t>按照各项目有关科室分工，对县级预算安排的所有项目进行责任分解。分解结果下发到各项目科室，经核对无误后分别组织自评工作。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 w:hint="eastAsia"/>
          <w:bCs/>
          <w:sz w:val="32"/>
          <w:szCs w:val="32"/>
        </w:rPr>
        <w:t>3.收集自评信息</w:t>
      </w:r>
      <w:r>
        <w:rPr>
          <w:rFonts w:ascii="仿宋" w:eastAsia="仿宋" w:cs="楷体_GB2312" w:hint="eastAsia"/>
          <w:bCs/>
          <w:sz w:val="32"/>
          <w:szCs w:val="32"/>
        </w:rPr>
        <w:t>。各项目科室对照预算项目库中的项目绩效目标、指标，全面收集、系统整理项目绩效完成信息，确认各项绩效指标实际完成值和实现程度。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 w:hint="eastAsia"/>
          <w:bCs/>
          <w:sz w:val="32"/>
          <w:szCs w:val="32"/>
        </w:rPr>
        <w:t>4.计算自评得分</w:t>
      </w:r>
      <w:r>
        <w:rPr>
          <w:rFonts w:ascii="仿宋" w:eastAsia="仿宋" w:cs="楷体_GB2312" w:hint="eastAsia"/>
          <w:bCs/>
          <w:sz w:val="32"/>
          <w:szCs w:val="32"/>
        </w:rPr>
        <w:t>。各项目科室按照《县级部门预算项目绩效自评表》的格式和要求，将每个预算项目各绩效指标实际完成值与年初设定的预期值相比较，逐项评定每项指标得分，汇总形成预算项目自评最终得分。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 w:hint="eastAsia"/>
          <w:bCs/>
          <w:sz w:val="32"/>
          <w:szCs w:val="32"/>
        </w:rPr>
        <w:t>5.撰写绩效自评报告</w:t>
      </w:r>
      <w:r>
        <w:rPr>
          <w:rFonts w:ascii="仿宋" w:eastAsia="仿宋" w:cs="楷体_GB2312" w:hint="eastAsia"/>
          <w:bCs/>
          <w:sz w:val="32"/>
          <w:szCs w:val="32"/>
        </w:rPr>
        <w:t>。各项目科室按照《绩效自评工作报告》参考格式，撰写本科室各项目绩效自评工作报告，内容包括绩效自评组织开展情况、绩效目标实现情况、绩效目标设定质量情况、整改措施及结果应用等，重点分析说明2023年底支出进度低于95%未完成绩效目标或偏离绩效目标较大的项目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 w:hint="eastAsia"/>
          <w:bCs/>
          <w:sz w:val="32"/>
          <w:szCs w:val="32"/>
        </w:rPr>
        <w:t>6.审核自评结果</w:t>
      </w:r>
      <w:r>
        <w:rPr>
          <w:rFonts w:ascii="仿宋" w:eastAsia="仿宋" w:cs="楷体_GB2312" w:hint="eastAsia"/>
          <w:bCs/>
          <w:sz w:val="32"/>
          <w:szCs w:val="32"/>
        </w:rPr>
        <w:t>。财务科按照有关绩效考核要求，对各项目科室报送的绩效自评表、绩效自评工作报告等材料进行审核。对自评材料不规范、自评得分不合理、自评要件不健全的情况予以纠正。</w:t>
      </w:r>
    </w:p>
    <w:p>
      <w:pPr>
        <w:spacing w:line="560" w:lineRule="exact"/>
        <w:ind w:firstLineChars="200" w:firstLine="640"/>
        <w:rPr>
          <w:rFonts w:ascii="仿宋" w:eastAsia="仿宋" w:cs="楷体_GB2312" w:hint="eastAsia"/>
          <w:bCs/>
          <w:sz w:val="32"/>
          <w:szCs w:val="32"/>
        </w:rPr>
      </w:pPr>
      <w:r>
        <w:rPr>
          <w:rFonts w:ascii="华文楷体" w:eastAsia="华文楷体" w:cs="楷体_GB2312" w:hint="eastAsia"/>
          <w:bCs/>
          <w:sz w:val="32"/>
          <w:szCs w:val="32"/>
        </w:rPr>
        <w:t>7.汇总自评报告</w:t>
      </w:r>
      <w:r>
        <w:rPr>
          <w:rFonts w:ascii="仿宋" w:eastAsia="仿宋" w:cs="楷体_GB2312" w:hint="eastAsia"/>
          <w:bCs/>
          <w:sz w:val="32"/>
          <w:szCs w:val="32"/>
        </w:rPr>
        <w:t>。审核完成后，财务科对各项目科室自评情况实施汇总。对自评中凸显的问题，会同有关科室予以深入剖析，对预算执行、现实情况等层面存在的问题，研究探索整改思路和工作措施，最终形成自评报告。</w:t>
      </w:r>
    </w:p>
    <w:p>
      <w:pPr>
        <w:spacing w:line="560" w:lineRule="exact"/>
        <w:rPr>
          <w:rFonts w:ascii="SimHei" w:eastAsia="SimHei"/>
          <w:b/>
          <w:bCs/>
          <w:sz w:val="32"/>
          <w:szCs w:val="32"/>
        </w:rPr>
      </w:pPr>
      <w:r>
        <w:rPr>
          <w:rFonts w:ascii="SimHei" w:eastAsia="SimHei" w:hint="eastAsia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left="0" w:firstLineChars="200" w:firstLine="640"/>
        <w:rPr>
          <w:rFonts w:ascii="楷体" w:eastAsia="楷体" w:cs="楷体_GB2312"/>
          <w:bCs/>
          <w:sz w:val="32"/>
          <w:szCs w:val="32"/>
        </w:rPr>
      </w:pPr>
      <w:r>
        <w:rPr>
          <w:rFonts w:ascii="楷体" w:eastAsia="楷体" w:cs="楷体_GB2312" w:hint="eastAsia"/>
          <w:bCs/>
          <w:sz w:val="32"/>
          <w:szCs w:val="32"/>
        </w:rPr>
        <w:t>总体绩效目标实现情况</w:t>
      </w:r>
    </w:p>
    <w:p>
      <w:pPr>
        <w:spacing w:line="510" w:lineRule="exact"/>
        <w:ind w:firstLineChars="200" w:firstLine="640"/>
        <w:rPr>
          <w:rFonts w:ascii="仿宋" w:eastAsia="仿宋" w:cs="仿宋_GB2312" w:hint="eastAsia"/>
          <w:sz w:val="32"/>
          <w:szCs w:val="32"/>
        </w:rPr>
      </w:pPr>
      <w:r>
        <w:rPr>
          <w:rFonts w:ascii="仿宋" w:eastAsia="仿宋" w:cs="仿宋_GB2312" w:hint="eastAsia"/>
          <w:sz w:val="32"/>
          <w:szCs w:val="32"/>
        </w:rPr>
        <w:t>根据预算绩效管理要求，本部门组织对2023年度预算项目支出全面开展绩效自评，涉及项目2</w:t>
      </w:r>
      <w:r>
        <w:rPr>
          <w:rFonts w:ascii="仿宋" w:eastAsia="仿宋" w:cs="仿宋_GB2312"/>
          <w:sz w:val="32"/>
          <w:szCs w:val="32"/>
        </w:rPr>
        <w:t>2</w:t>
      </w:r>
      <w:r>
        <w:rPr>
          <w:rFonts w:ascii="仿宋" w:eastAsia="仿宋" w:cs="仿宋_GB2312" w:hint="eastAsia"/>
          <w:sz w:val="32"/>
          <w:szCs w:val="32"/>
        </w:rPr>
        <w:t>个，开展自评的金额为12018.97万元，其中，一般公共预算项目2</w:t>
      </w:r>
      <w:r>
        <w:rPr>
          <w:rFonts w:ascii="仿宋" w:eastAsia="仿宋" w:cs="仿宋_GB2312"/>
          <w:sz w:val="32"/>
          <w:szCs w:val="32"/>
        </w:rPr>
        <w:t>1</w:t>
      </w:r>
      <w:r>
        <w:rPr>
          <w:rFonts w:ascii="仿宋" w:eastAsia="仿宋" w:cs="仿宋_GB2312" w:hint="eastAsia"/>
          <w:sz w:val="32"/>
          <w:szCs w:val="32"/>
        </w:rPr>
        <w:t>个，共涉及资金5041.27万元，占一般公共预算项目支出总额的100%；政府性基金预算项目1个,共涉及资金6977.7万元，占政府性基金预算项目支出总额的100%。</w:t>
      </w:r>
    </w:p>
    <w:p>
      <w:pPr>
        <w:spacing w:line="560" w:lineRule="exact"/>
        <w:ind w:firstLineChars="200" w:firstLine="640"/>
        <w:rPr>
          <w:rFonts w:ascii="仿宋" w:eastAsia="仿宋" w:hint="eastAsia"/>
          <w:sz w:val="32"/>
          <w:szCs w:val="32"/>
        </w:rPr>
      </w:pPr>
      <w:r>
        <w:rPr>
          <w:rFonts w:ascii="仿宋" w:eastAsia="仿宋" w:cs="仿宋_GB2312" w:hint="eastAsia"/>
          <w:sz w:val="32"/>
          <w:szCs w:val="32"/>
        </w:rPr>
        <w:t>深泽县水利局在开展部门整体支出绩效自评的基础上，完成了项目自评；涉及项目22类，开展自评的金额为12018.97万元，项目自评覆盖率达到100%；评价内容基本完整。绩效目标指标设置基本合理、通顺；绩效自评结果将作为改进预算管理，优化部门支出安排的重要依据。</w:t>
      </w:r>
    </w:p>
    <w:p>
      <w:pPr>
        <w:spacing w:line="560" w:lineRule="exact"/>
        <w:rPr>
          <w:rFonts w:ascii="楷体" w:eastAsia="楷体"/>
          <w:bCs/>
          <w:sz w:val="32"/>
          <w:szCs w:val="32"/>
        </w:rPr>
      </w:pPr>
      <w:r>
        <w:rPr>
          <w:rFonts w:ascii="仿宋" w:eastAsia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int="eastAsia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leftChars="47" w:left="99" w:firstLineChars="202" w:firstLine="646"/>
        <w:rPr>
          <w:rFonts w:ascii="仿宋" w:eastAsia="仿宋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1.</w:t>
      </w:r>
      <w:r>
        <w:rPr>
          <w:rFonts w:ascii="仿宋" w:eastAsia="仿宋" w:cs="仿宋_GB2312" w:hint="eastAsia"/>
          <w:sz w:val="32"/>
          <w:szCs w:val="32"/>
        </w:rPr>
        <w:t>组织对“南水北调水费”、深泽县农村饮水管网改造巩固提升工程等项目开展了部门重点评价，涉及一般公共预算支出5041.27万元，政府性基金预算支出6977.7万元。</w:t>
      </w:r>
    </w:p>
    <w:p>
      <w:pPr>
        <w:spacing w:line="560" w:lineRule="exact"/>
        <w:ind w:leftChars="47" w:left="99" w:firstLineChars="202" w:firstLine="646"/>
        <w:rPr>
          <w:rFonts w:ascii="仿宋" w:eastAsia="仿宋" w:hint="eastAsia"/>
          <w:sz w:val="32"/>
          <w:szCs w:val="32"/>
        </w:rPr>
      </w:pPr>
      <w:r>
        <w:rPr>
          <w:rFonts w:ascii="仿宋" w:eastAsia="仿宋" w:cs="仿宋_GB2312" w:hint="eastAsia"/>
          <w:sz w:val="32"/>
          <w:szCs w:val="32"/>
        </w:rPr>
        <w:t>从评价情况来看，“南水北调水费项目”</w:t>
      </w:r>
      <w:r>
        <w:rPr>
          <w:rFonts w:ascii="仿宋" w:eastAsia="仿宋" w:cs="仿宋" w:hint="eastAsia"/>
          <w:sz w:val="32"/>
          <w:szCs w:val="32"/>
        </w:rPr>
        <w:t>工程全部完工，质量合格，无质量问题，项目实施的成本（预算）控制情况在预算范围内。群众满意度100%</w:t>
      </w:r>
      <w:r>
        <w:rPr>
          <w:rFonts w:ascii="仿宋" w:eastAsia="仿宋" w:hint="eastAsia"/>
          <w:sz w:val="32"/>
          <w:szCs w:val="32"/>
        </w:rPr>
        <w:t>，</w:t>
      </w:r>
      <w:r>
        <w:rPr>
          <w:rFonts w:ascii="仿宋" w:eastAsia="仿宋" w:cs="仿宋_GB2312" w:hint="eastAsia"/>
          <w:sz w:val="32"/>
          <w:szCs w:val="32"/>
        </w:rPr>
        <w:t>完成了预期绩效目标。深泽县农村饮水管网改造巩固提升工程</w:t>
      </w:r>
      <w:r>
        <w:rPr>
          <w:rFonts w:ascii="仿宋" w:eastAsia="仿宋" w:hint="eastAsia"/>
          <w:sz w:val="32"/>
          <w:szCs w:val="32"/>
        </w:rPr>
        <w:t>项目实施后，该项目实施可减少地下水开采，改善农村居民用水环境和用水质量的提升，农村饮水工程维修养护覆盖受益209521人。</w:t>
      </w:r>
    </w:p>
    <w:p>
      <w:pPr>
        <w:adjustRightInd w:val="0"/>
        <w:snapToGrid w:val="0"/>
        <w:spacing w:line="600" w:lineRule="exact"/>
        <w:ind w:firstLineChars="200" w:firstLine="640"/>
        <w:rPr>
          <w:rFonts w:ascii="黑体" w:eastAsia="黑体"/>
          <w:b/>
          <w:bCs/>
          <w:sz w:val="32"/>
          <w:szCs w:val="32"/>
        </w:rPr>
      </w:pPr>
      <w:r>
        <w:rPr>
          <w:rFonts w:ascii="仿宋" w:eastAsia="仿宋"/>
          <w:sz w:val="32"/>
          <w:szCs w:val="32"/>
        </w:rPr>
        <w:t>（1）</w:t>
      </w:r>
      <w:r>
        <w:rPr>
          <w:rFonts w:ascii="仿宋_GB2312" w:eastAsia="仿宋_GB2312" w:cs="仿宋_GB2312" w:hint="eastAsia"/>
          <w:sz w:val="32"/>
          <w:szCs w:val="32"/>
        </w:rPr>
        <w:t>南水北调水费项目绩效自评综述：根据年初设定的绩效目标，南水北调水费项目绩效自评得分为100分。全年预算数为</w:t>
      </w:r>
      <w:r>
        <w:rPr>
          <w:rFonts w:ascii="仿宋_GB2312" w:eastAsia="仿宋_GB2312" w:cs="仿宋_GB2312"/>
          <w:sz w:val="32"/>
          <w:szCs w:val="32"/>
        </w:rPr>
        <w:t>628</w:t>
      </w:r>
      <w:r>
        <w:rPr>
          <w:rFonts w:ascii="仿宋_GB2312" w:eastAsia="仿宋_GB2312" w:cs="仿宋_GB2312" w:hint="eastAsia"/>
          <w:sz w:val="32"/>
          <w:szCs w:val="32"/>
        </w:rPr>
        <w:t>万元，执行数为</w:t>
      </w:r>
      <w:r>
        <w:rPr>
          <w:rFonts w:ascii="仿宋_GB2312" w:eastAsia="仿宋_GB2312" w:cs="仿宋_GB2312"/>
          <w:sz w:val="32"/>
          <w:szCs w:val="32"/>
        </w:rPr>
        <w:t>628</w:t>
      </w:r>
      <w:r>
        <w:rPr>
          <w:rFonts w:ascii="仿宋_GB2312" w:eastAsia="仿宋_GB2312" w:cs="仿宋_GB2312" w:hint="eastAsia"/>
          <w:sz w:val="32"/>
          <w:szCs w:val="32"/>
        </w:rPr>
        <w:t>万元，完成预算的100%。项目绩效目标完成情况：</w:t>
      </w:r>
      <w:r>
        <w:rPr>
          <w:rFonts w:ascii="仿宋" w:eastAsia="仿宋" w:cs="仿宋" w:hint="eastAsia"/>
          <w:sz w:val="32"/>
          <w:szCs w:val="32"/>
        </w:rPr>
        <w:t>一是项目总金额</w:t>
      </w:r>
      <w:r>
        <w:rPr>
          <w:rFonts w:ascii="仿宋" w:eastAsia="仿宋" w:cs="仿宋"/>
          <w:sz w:val="32"/>
          <w:szCs w:val="32"/>
        </w:rPr>
        <w:t>628</w:t>
      </w:r>
      <w:r>
        <w:rPr>
          <w:rFonts w:ascii="仿宋" w:eastAsia="仿宋" w:cs="仿宋" w:hint="eastAsia"/>
          <w:sz w:val="32"/>
          <w:szCs w:val="32"/>
        </w:rPr>
        <w:t>万元全部完成；二是工程全部完工，质量合格，无质量问题。</w:t>
      </w:r>
    </w:p>
    <w:p>
      <w:pPr>
        <w:adjustRightInd w:val="0"/>
        <w:snapToGrid w:val="0"/>
        <w:spacing w:line="600" w:lineRule="exact"/>
        <w:ind w:firstLineChars="200" w:firstLine="640"/>
        <w:rPr>
          <w:rFonts w:ascii="黑体" w:eastAsia="黑体"/>
          <w:b/>
          <w:bCs/>
          <w:sz w:val="32"/>
          <w:szCs w:val="32"/>
        </w:rPr>
      </w:pPr>
      <w:r>
        <w:rPr>
          <w:rFonts w:ascii="仿宋" w:eastAsia="仿宋"/>
          <w:sz w:val="32"/>
          <w:szCs w:val="32"/>
        </w:rPr>
        <w:t>（2）</w:t>
      </w:r>
      <w:r>
        <w:rPr>
          <w:rFonts w:ascii="仿宋_GB2312" w:eastAsia="仿宋_GB2312" w:cs="仿宋_GB2312" w:hint="eastAsia"/>
          <w:sz w:val="32"/>
          <w:szCs w:val="32"/>
        </w:rPr>
        <w:t>深泽县农村饮水管网改造巩固提升工程项目绩效自评综述：根据年初设定的绩效目标，深泽县农村饮水管网改造巩固提升工程项目绩效自评得分为9</w:t>
      </w:r>
      <w:r>
        <w:rPr>
          <w:rFonts w:ascii="仿宋_GB2312" w:eastAsia="仿宋_GB2312" w:cs="仿宋_GB2312"/>
          <w:sz w:val="32"/>
          <w:szCs w:val="32"/>
        </w:rPr>
        <w:t>4</w:t>
      </w:r>
      <w:r>
        <w:rPr>
          <w:rFonts w:ascii="仿宋_GB2312" w:eastAsia="仿宋_GB2312" w:cs="仿宋_GB2312" w:hint="eastAsia"/>
          <w:sz w:val="32"/>
          <w:szCs w:val="32"/>
        </w:rPr>
        <w:t>分。 全年预算数为</w:t>
      </w:r>
      <w:r>
        <w:rPr>
          <w:rFonts w:ascii="仿宋_GB2312" w:eastAsia="仿宋_GB2312" w:cs="仿宋_GB2312"/>
          <w:sz w:val="32"/>
          <w:szCs w:val="32"/>
        </w:rPr>
        <w:t>9200</w:t>
      </w:r>
      <w:r>
        <w:rPr>
          <w:rFonts w:ascii="仿宋_GB2312" w:eastAsia="仿宋_GB2312" w:cs="仿宋_GB2312" w:hint="eastAsia"/>
          <w:sz w:val="32"/>
          <w:szCs w:val="32"/>
        </w:rPr>
        <w:t>万元，执行数为</w:t>
      </w:r>
      <w:r>
        <w:rPr>
          <w:rFonts w:ascii="仿宋_GB2312" w:eastAsia="仿宋_GB2312" w:cs="仿宋_GB2312"/>
          <w:sz w:val="32"/>
          <w:szCs w:val="32"/>
        </w:rPr>
        <w:t>6977.7</w:t>
      </w:r>
      <w:r>
        <w:rPr>
          <w:rFonts w:ascii="仿宋_GB2312" w:eastAsia="仿宋_GB2312" w:cs="仿宋_GB2312" w:hint="eastAsia"/>
          <w:sz w:val="32"/>
          <w:szCs w:val="32"/>
        </w:rPr>
        <w:t>万元，完成预算的</w:t>
      </w:r>
      <w:r>
        <w:rPr>
          <w:rFonts w:ascii="仿宋_GB2312" w:eastAsia="仿宋_GB2312" w:cs="仿宋_GB2312"/>
          <w:sz w:val="32"/>
          <w:szCs w:val="32"/>
        </w:rPr>
        <w:t>76</w:t>
      </w:r>
      <w:r>
        <w:rPr>
          <w:rFonts w:ascii="仿宋_GB2312" w:eastAsia="仿宋_GB2312" w:cs="仿宋_GB2312" w:hint="eastAsia"/>
          <w:sz w:val="32"/>
          <w:szCs w:val="32"/>
        </w:rPr>
        <w:t>%。项目绩效目标完成情况：一是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项目实际到位资金</w:t>
      </w:r>
      <w:r>
        <w:rPr>
          <w:rFonts w:ascii="仿宋_GB2312" w:eastAsia="仿宋_GB2312" w:cs="仿宋_GB2312"/>
          <w:color w:val="000000"/>
          <w:sz w:val="32"/>
          <w:szCs w:val="32"/>
        </w:rPr>
        <w:t>9200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万元，全部为中央财政资金，对</w:t>
      </w:r>
      <w:r>
        <w:rPr>
          <w:rFonts w:ascii="仿宋_GB2312" w:eastAsia="仿宋_GB2312" w:cs="仿宋_GB2312" w:hint="eastAsia"/>
          <w:sz w:val="32"/>
          <w:szCs w:val="32"/>
        </w:rPr>
        <w:t>96个村进行农村饮水老旧管网改造，更换供水管网2318.39㎞（含井内管道），入村智能水表107套（总表），单户智能水表58175套，水表井16509套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完成投资</w:t>
      </w:r>
      <w:r>
        <w:rPr>
          <w:rFonts w:ascii="仿宋_GB2312" w:eastAsia="仿宋_GB2312" w:cs="仿宋_GB2312"/>
          <w:color w:val="000000"/>
          <w:sz w:val="32"/>
          <w:szCs w:val="32"/>
        </w:rPr>
        <w:t>6977.7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万元</w:t>
      </w:r>
      <w:r>
        <w:rPr>
          <w:rFonts w:ascii="仿宋_GB2312" w:eastAsia="仿宋_GB2312" w:cs="仿宋_GB2312" w:hint="eastAsia"/>
          <w:sz w:val="32"/>
          <w:szCs w:val="32"/>
        </w:rPr>
        <w:t>；二是</w:t>
      </w:r>
      <w:r>
        <w:rPr>
          <w:rFonts w:ascii="仿宋_GB2312" w:eastAsia="仿宋_GB2312" w:hint="eastAsia"/>
          <w:sz w:val="32"/>
          <w:szCs w:val="32"/>
        </w:rPr>
        <w:t>自评得分：总分9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分。产出指标</w:t>
      </w:r>
      <w:r>
        <w:rPr>
          <w:rFonts w:ascii="仿宋_GB2312" w:eastAsia="仿宋_GB2312"/>
          <w:sz w:val="32"/>
          <w:szCs w:val="32"/>
        </w:rPr>
        <w:t>38</w:t>
      </w:r>
      <w:r>
        <w:rPr>
          <w:rFonts w:ascii="仿宋_GB2312" w:eastAsia="仿宋_GB2312" w:hint="eastAsia"/>
          <w:sz w:val="32"/>
          <w:szCs w:val="32"/>
        </w:rPr>
        <w:t>分、预算执行率指标</w:t>
      </w:r>
      <w:r>
        <w:rPr>
          <w:rFonts w:ascii="仿宋_GB2312" w:eastAsia="仿宋_GB2312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分、效益指标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ascii="仿宋_GB2312" w:eastAsia="仿宋_GB2312" w:hint="eastAsia"/>
          <w:sz w:val="32"/>
          <w:szCs w:val="32"/>
        </w:rPr>
        <w:t>分、满意度指标</w:t>
      </w:r>
      <w:r>
        <w:rPr>
          <w:rFonts w:ascii="仿宋_GB2312" w:eastAsia="仿宋_GB2312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分。</w:t>
      </w:r>
    </w:p>
    <w:p>
      <w:pPr>
        <w:spacing w:line="560" w:lineRule="exact"/>
        <w:ind w:firstLineChars="200" w:firstLine="640"/>
        <w:rPr>
          <w:rFonts w:ascii="SimHei" w:eastAsia="SimHei"/>
          <w:sz w:val="32"/>
          <w:szCs w:val="32"/>
        </w:rPr>
      </w:pPr>
      <w:r>
        <w:rPr>
          <w:rFonts w:ascii="SimHei" w:eastAsia="SimHei" w:hint="eastAsia"/>
          <w:sz w:val="32"/>
          <w:szCs w:val="32"/>
        </w:rPr>
        <w:t>四、评价结论和评价等级</w:t>
      </w:r>
    </w:p>
    <w:p>
      <w:pPr>
        <w:spacing w:line="560" w:lineRule="exact"/>
        <w:ind w:firstLineChars="200" w:firstLine="640"/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根据部门职责定位和各项工作履职情况进行综合评价，</w:t>
      </w:r>
      <w:r>
        <w:rPr>
          <w:rFonts w:ascii="仿宋" w:eastAsia="仿宋"/>
          <w:sz w:val="32"/>
          <w:szCs w:val="32"/>
        </w:rPr>
        <w:t>2023年深泽县水利局部门支出综合绩效</w:t>
      </w:r>
      <w:bookmarkStart w:id="0" w:name="_GoBack"/>
      <w:bookmarkEnd w:id="0"/>
      <w:r>
        <w:rPr>
          <w:rFonts w:ascii="仿宋" w:eastAsia="仿宋"/>
          <w:sz w:val="32"/>
          <w:szCs w:val="32"/>
        </w:rPr>
        <w:t>评价得分97分，评价等级为优秀。</w:t>
      </w:r>
    </w:p>
    <w:p>
      <w:pPr>
        <w:spacing w:line="560" w:lineRule="exact"/>
        <w:ind w:firstLineChars="200" w:firstLine="640"/>
        <w:rPr>
          <w:rFonts w:ascii="SimHei" w:eastAsia="SimHei"/>
          <w:sz w:val="32"/>
          <w:szCs w:val="32"/>
        </w:rPr>
      </w:pPr>
      <w:r>
        <w:rPr>
          <w:rFonts w:ascii="SimHei" w:eastAsia="SimHei" w:hint="eastAsia"/>
          <w:sz w:val="32"/>
          <w:szCs w:val="32"/>
        </w:rPr>
        <w:t>五、存在的问题及改进措施</w:t>
      </w:r>
    </w:p>
    <w:p>
      <w:pPr>
        <w:spacing w:line="560" w:lineRule="exact"/>
        <w:ind w:firstLineChars="200" w:firstLine="640"/>
        <w:rPr>
          <w:rFonts w:ascii="楷体" w:eastAsia="楷体"/>
          <w:bCs/>
          <w:sz w:val="32"/>
          <w:szCs w:val="32"/>
        </w:rPr>
      </w:pPr>
      <w:r>
        <w:rPr>
          <w:rFonts w:ascii="楷体" w:eastAsia="楷体" w:hint="eastAsia"/>
          <w:bCs/>
          <w:sz w:val="32"/>
          <w:szCs w:val="32"/>
        </w:rPr>
        <w:t>（一）存在的主要问题</w:t>
      </w:r>
    </w:p>
    <w:p>
      <w:pPr>
        <w:spacing w:line="560" w:lineRule="exact"/>
        <w:ind w:firstLineChars="200" w:firstLine="640"/>
        <w:rPr>
          <w:rFonts w:ascii="仿宋" w:eastAsia="仿宋" w:hint="eastAsia"/>
          <w:bCs/>
          <w:sz w:val="32"/>
          <w:szCs w:val="32"/>
        </w:rPr>
      </w:pPr>
      <w:r>
        <w:rPr>
          <w:rFonts w:ascii="仿宋" w:eastAsia="仿宋" w:hint="eastAsia"/>
          <w:bCs/>
          <w:sz w:val="32"/>
          <w:szCs w:val="32"/>
        </w:rPr>
        <w:t>2023年，我部门财务管理更加规范，但对照财政管理科学化、精细化标准，</w:t>
      </w:r>
      <w:r>
        <w:rPr>
          <w:rFonts w:ascii="仿宋" w:eastAsia="仿宋"/>
          <w:bCs/>
          <w:sz w:val="32"/>
          <w:szCs w:val="32"/>
        </w:rPr>
        <w:t>仍</w:t>
      </w:r>
      <w:r>
        <w:rPr>
          <w:rFonts w:ascii="仿宋" w:eastAsia="仿宋" w:hint="eastAsia"/>
          <w:bCs/>
          <w:sz w:val="32"/>
          <w:szCs w:val="32"/>
        </w:rPr>
        <w:t>存在很大差距，如：预算编制工作有待细化、预算的执行力度还需加强，部分项目资金支付进度比较滞后。</w:t>
      </w:r>
    </w:p>
    <w:p>
      <w:pPr>
        <w:spacing w:line="560" w:lineRule="exact"/>
        <w:ind w:firstLineChars="200" w:firstLine="640"/>
        <w:rPr>
          <w:rFonts w:ascii="楷体" w:eastAsia="楷体"/>
          <w:bCs/>
          <w:sz w:val="32"/>
          <w:szCs w:val="32"/>
        </w:rPr>
      </w:pPr>
      <w:r>
        <w:rPr>
          <w:rFonts w:ascii="楷体" w:eastAsia="楷体" w:hint="eastAsia"/>
          <w:bCs/>
          <w:sz w:val="32"/>
          <w:szCs w:val="32"/>
        </w:rPr>
        <w:t>（二）针对问题提出具体的改进措施或建议</w:t>
      </w:r>
    </w:p>
    <w:p>
      <w:pPr>
        <w:spacing w:line="560" w:lineRule="exact"/>
        <w:ind w:firstLineChars="200" w:firstLine="640"/>
        <w:rPr>
          <w:rFonts w:ascii="仿宋" w:eastAsia="仿宋" w:hint="eastAsia"/>
          <w:bCs/>
          <w:sz w:val="32"/>
          <w:szCs w:val="32"/>
        </w:rPr>
      </w:pPr>
      <w:r>
        <w:rPr>
          <w:rFonts w:ascii="仿宋" w:eastAsia="仿宋" w:hint="eastAsia"/>
          <w:bCs/>
          <w:sz w:val="32"/>
          <w:szCs w:val="32"/>
        </w:rPr>
        <w:t>一是着力加强预算编制管理，科学规划预算编制工作，进一步提高预算编制的科学性、合理性、严谨性和可控性。</w:t>
      </w:r>
    </w:p>
    <w:p>
      <w:pPr>
        <w:spacing w:line="560" w:lineRule="exact"/>
        <w:ind w:firstLineChars="200" w:firstLine="640"/>
        <w:rPr>
          <w:rFonts w:ascii="仿宋" w:eastAsia="仿宋" w:hint="eastAsia"/>
          <w:bCs/>
          <w:sz w:val="32"/>
          <w:szCs w:val="32"/>
        </w:rPr>
      </w:pPr>
      <w:r>
        <w:rPr>
          <w:rFonts w:ascii="仿宋" w:eastAsia="仿宋" w:hint="eastAsia"/>
          <w:bCs/>
          <w:sz w:val="32"/>
          <w:szCs w:val="32"/>
        </w:rPr>
        <w:t>二是着力加强资金使用管理，严格按照预算规定的费用项目和用途进行资金使用审核、列报支付、财务核算。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SimHei" w:eastAsia="SimHei"/>
          <w:sz w:val="32"/>
          <w:szCs w:val="32"/>
        </w:rPr>
      </w:pPr>
      <w:r>
        <w:rPr>
          <w:rFonts w:ascii="SimHei" w:eastAsia="SimHei" w:hint="eastAsia"/>
          <w:sz w:val="32"/>
          <w:szCs w:val="32"/>
        </w:rPr>
        <w:t>六、评价工作组人员名单及签字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SimHei" w:eastAsia="SimHei"/>
          <w:sz w:val="32"/>
          <w:szCs w:val="32"/>
        </w:rPr>
      </w:pPr>
    </w:p>
    <w:tbl>
      <w:tblPr>
        <w:jc w:val="lef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1786"/>
        <w:gridCol w:w="2327"/>
        <w:gridCol w:w="2164"/>
        <w:gridCol w:w="1790"/>
      </w:tblGrid>
      <w:tr>
        <w:tc>
          <w:tcPr>
            <w:tcW w:w="88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 w:hint="eastAsia"/>
                <w:sz w:val="32"/>
                <w:szCs w:val="32"/>
              </w:rPr>
              <w:t>序号</w:t>
            </w:r>
          </w:p>
        </w:tc>
        <w:tc>
          <w:tcPr>
            <w:tcW w:w="1786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姓名</w:t>
            </w:r>
          </w:p>
        </w:tc>
        <w:tc>
          <w:tcPr>
            <w:tcW w:w="2327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工作单位</w:t>
            </w:r>
          </w:p>
        </w:tc>
        <w:tc>
          <w:tcPr>
            <w:tcW w:w="2164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职务/职称</w:t>
            </w:r>
          </w:p>
        </w:tc>
        <w:tc>
          <w:tcPr>
            <w:tcW w:w="1790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签字</w:t>
            </w:r>
          </w:p>
        </w:tc>
      </w:tr>
      <w:tr>
        <w:tc>
          <w:tcPr>
            <w:tcW w:w="88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1</w:t>
            </w:r>
          </w:p>
        </w:tc>
        <w:tc>
          <w:tcPr>
            <w:tcW w:w="1786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纪星丽</w:t>
            </w:r>
          </w:p>
        </w:tc>
        <w:tc>
          <w:tcPr>
            <w:tcW w:w="2327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深泽县水利局</w:t>
            </w:r>
          </w:p>
        </w:tc>
        <w:tc>
          <w:tcPr>
            <w:tcW w:w="2164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财务科科长</w:t>
            </w:r>
          </w:p>
        </w:tc>
        <w:tc>
          <w:tcPr>
            <w:tcW w:w="1790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</w:p>
        </w:tc>
      </w:tr>
      <w:tr>
        <w:tc>
          <w:tcPr>
            <w:tcW w:w="88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2</w:t>
            </w:r>
          </w:p>
        </w:tc>
        <w:tc>
          <w:tcPr>
            <w:tcW w:w="1786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杜彦珍</w:t>
            </w:r>
          </w:p>
        </w:tc>
        <w:tc>
          <w:tcPr>
            <w:tcW w:w="2327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深泽县水利局</w:t>
            </w:r>
          </w:p>
        </w:tc>
        <w:tc>
          <w:tcPr>
            <w:tcW w:w="2164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  <w:r>
              <w:rPr>
                <w:rFonts w:ascii="仿宋" w:eastAsia="仿宋"/>
                <w:sz w:val="32"/>
                <w:szCs w:val="32"/>
              </w:rPr>
              <w:t>会计</w:t>
            </w:r>
          </w:p>
        </w:tc>
        <w:tc>
          <w:tcPr>
            <w:tcW w:w="1790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djustRightInd w:val="0"/>
              <w:snapToGrid w:val="0"/>
              <w:spacing w:line="560" w:lineRule="exact"/>
              <w:jc w:val="center"/>
              <w:rPr>
                <w:rFonts w:ascii="仿宋" w:eastAsia="仿宋" w:hint="eastAsia"/>
                <w:sz w:val="32"/>
                <w:szCs w:val="32"/>
              </w:rPr>
            </w:pPr>
          </w:p>
        </w:tc>
      </w:tr>
    </w:tbl>
    <w:p>
      <w:pPr>
        <w:adjustRightInd w:val="0"/>
        <w:snapToGrid w:val="0"/>
        <w:spacing w:line="560" w:lineRule="exact"/>
        <w:ind w:firstLineChars="200" w:firstLine="640"/>
        <w:rPr>
          <w:rFonts w:ascii="SimHei" w:eastAsia="SimHei"/>
          <w:sz w:val="32"/>
          <w:szCs w:val="32"/>
        </w:rPr>
      </w:pPr>
    </w:p>
    <w:p>
      <w:pPr>
        <w:spacing w:line="560" w:lineRule="exact"/>
        <w:rPr>
          <w:rFonts w:ascii="仿宋" w:eastAsia="仿宋"/>
        </w:rPr>
      </w:pPr>
    </w:p>
    <w:p>
      <w:pPr>
        <w:spacing w:line="560" w:lineRule="exact"/>
        <w:rPr>
          <w:rFonts w:ascii="仿宋" w:eastAsia="仿宋"/>
        </w:rPr>
      </w:pPr>
    </w:p>
    <w:p>
      <w:pPr>
        <w:spacing w:line="560" w:lineRule="exact"/>
        <w:ind w:left="0" w:firstLineChars="1700" w:firstLine="5440"/>
        <w:rPr>
          <w:rFonts w:ascii="仿宋" w:eastAsia="仿宋"/>
          <w:sz w:val="32"/>
          <w:szCs w:val="32"/>
        </w:rPr>
      </w:pPr>
      <w:r>
        <w:rPr>
          <w:rFonts w:ascii="仿宋" w:eastAsia="仿宋"/>
          <w:sz w:val="32"/>
          <w:szCs w:val="32"/>
        </w:rPr>
        <w:t>深泽县水利局</w:t>
      </w:r>
    </w:p>
    <w:p>
      <w:pPr>
        <w:spacing w:line="560" w:lineRule="exact"/>
        <w:ind w:left="0" w:firstLineChars="1650" w:firstLine="5280"/>
        <w:rPr>
          <w:rFonts w:ascii="仿宋" w:eastAsia="仿宋"/>
          <w:sz w:val="32"/>
          <w:szCs w:val="32"/>
        </w:rPr>
      </w:pPr>
      <w:r>
        <w:rPr>
          <w:rFonts w:ascii="仿宋" w:eastAsia="仿宋"/>
          <w:sz w:val="32"/>
          <w:szCs w:val="32"/>
        </w:rPr>
        <w:t>2024年4月19日</w:t>
      </w: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altName w:val="hakuyoxingshu7000"/>
    <w:panose1 w:val="00000000000000000000"/>
    <w:charset w:val="86"/>
    <w:family w:val="auto"/>
    <w:pitch w:val="variable"/>
    <w:sig w:usb0="00000000" w:usb1="080F0000" w:usb2="00000000" w:usb3="00000000" w:csb0="0004009F" w:csb1="DFD70000"/>
  </w:font>
  <w:font w:name="仿宋">
    <w:altName w:val="微软雅黑"/>
    <w:panose1 w:val="02010609060101010101"/>
    <w:charset w:val="86"/>
    <w:family w:val="modern"/>
    <w:pitch w:val="variable"/>
    <w:sig w:usb0="00000000" w:usb1="38CF7CFA" w:usb2="00000016" w:usb3="00000000" w:csb0="00040001" w:csb1="00000000"/>
  </w:font>
  <w:font w:name="SimHei">
    <w:altName w:val="黑体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altName w:val="微软雅黑"/>
    <w:panose1 w:val="02010609060101010101"/>
    <w:charset w:val="86"/>
    <w:family w:val="modern"/>
    <w:pitch w:val="variable"/>
    <w:sig w:usb0="00000000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variable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altName w:val="宋体"/>
    <w:panose1 w:val="00000000000000000000"/>
    <w:charset w:val="86"/>
    <w:family w:val="roman"/>
    <w:pitch w:val="variable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114298" distR="11429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5876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05876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- 2 -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Quad Arrow 3073 3" o:spid="_x0000_s3" filled="f" stroked="f" style="position:absolute;margin-left:0.0pt;margin-top:0.0pt;width:16.210745pt;height:12.820506pt;z-index:12;mso-position-horizontal:center;mso-position-horizontal-relative:margin;mso-position-vertical:absolute;mso-wrap-distance-left:8.999863pt;mso-wrap-distance-right:8.99986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- 2 -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0516AA81"/>
    <w:multiLevelType w:val="singleLevel"/>
    <w:tmpl w:val="0516AA81"/>
    <w:lvl w:ilvl="0">
      <w:start w:val="2"/>
      <w:numFmt w:val="chineseCounting"/>
      <w:lvlRestart w:val="0"/>
      <w:suff w:val="nothing"/>
      <w:lvlText w:val="（%1）"/>
      <w:lvlJc w:val="left"/>
      <w:pPr>
        <w:ind w:left="642" w:hanging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64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YzgxMzVhZTBlNDUyZWUxNDVhMjNkN2E1NjFlOTE5NDc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SimSun" w:cs="SimHei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qFormat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sz w:val="32"/>
    </w:rPr>
  </w:style>
  <w:style w:type="paragraph" w:styleId="3">
    <w:name w:val="heading 3"/>
    <w:qFormat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qFormat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7">
    <w:name w:val="toc 4"/>
    <w:qFormat/>
    <w:basedOn w:val="0"/>
    <w:autoRedefine/>
    <w:next w:val="0"/>
    <w:pPr>
      <w:ind w:left="1260"/>
    </w:pPr>
  </w:style>
  <w:style w:type="paragraph" w:customStyle="1" w:styleId="18">
    <w:name w:val="插入文本样式-插入预算公开部门职责文件"/>
    <w:qFormat/>
    <w:pPr>
      <w:spacing w:line="500" w:lineRule="exact"/>
      <w:ind w:firstLine="560"/>
    </w:pPr>
    <w:rPr>
      <w:rFonts w:ascii="Times New Roman" w:eastAsia="方正仿宋_GBK" w:cs="Times New Roman" w:hAnsi="Times New Roman"/>
      <w:sz w:val="28"/>
      <w:szCs w:val="24"/>
      <w:lang w:val="en-US" w:eastAsia="uk-UA" w:bidi="ar-SA"/>
    </w:rPr>
  </w:style>
  <w:style w:type="paragraph" w:customStyle="1" w:styleId="19">
    <w:name w:val="插入文本样式-插入总体目标文件"/>
    <w:qFormat/>
    <w:pPr>
      <w:spacing w:line="500" w:lineRule="exact"/>
      <w:ind w:firstLine="560"/>
    </w:pPr>
    <w:rPr>
      <w:rFonts w:ascii="Times New Roman" w:eastAsia="方正仿宋_GBK" w:cs="Times New Roman" w:hAnsi="Times New Roman"/>
      <w:sz w:val="28"/>
      <w:szCs w:val="24"/>
      <w:lang w:val="en-US" w:eastAsia="uk-UA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337</TotalTime>
  <Application>Yozo_Office27021597764231180</Application>
  <Pages>6</Pages>
  <Words>0</Words>
  <Characters>2385</Characters>
  <Lines>0</Lines>
  <Paragraphs>52</Paragraphs>
  <CharactersWithSpaces>3181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4</cp:revision>
  <cp:lastPrinted>2024-04-28T09:23:00Z</cp:lastPrinted>
  <dcterms:created xsi:type="dcterms:W3CDTF">2020-02-04T03:46:00Z</dcterms:created>
  <dcterms:modified xsi:type="dcterms:W3CDTF">2024-04-28T09:23:15Z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