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1B670D5">
      <w:pPr>
        <w:jc w:val="left"/>
        <w:rPr>
          <w:rFonts w:ascii="黑体" w:eastAsia="黑体" w:cs="黑体"/>
          <w:sz w:val="32"/>
          <w:szCs w:val="32"/>
        </w:rPr>
      </w:pPr>
      <w:bookmarkStart w:id="0" w:name="_Toc439550054"/>
      <w:r>
        <w:rPr>
          <w:rFonts w:hint="eastAsia" w:ascii="黑体" w:eastAsia="黑体" w:cs="黑体"/>
          <w:sz w:val="32"/>
          <w:szCs w:val="32"/>
        </w:rPr>
        <w:t>水务局职能</w:t>
      </w:r>
      <w:r>
        <w:rPr>
          <w:rFonts w:ascii="黑体" w:eastAsia="黑体" w:cs="黑体"/>
          <w:sz w:val="32"/>
          <w:szCs w:val="32"/>
        </w:rPr>
        <w:t xml:space="preserve"> </w:t>
      </w:r>
    </w:p>
    <w:p w14:paraId="5A004495">
      <w:pPr>
        <w:jc w:val="left"/>
        <w:rPr>
          <w:rFonts w:ascii="黑体" w:eastAsia="黑体" w:cs="黑体"/>
          <w:sz w:val="32"/>
          <w:szCs w:val="32"/>
        </w:rPr>
      </w:pPr>
      <w:r>
        <w:rPr>
          <w:rFonts w:ascii="黑体" w:eastAsia="黑体" w:cs="黑体"/>
          <w:sz w:val="32"/>
          <w:szCs w:val="32"/>
        </w:rPr>
        <w:t>1</w:t>
      </w:r>
      <w:r>
        <w:rPr>
          <w:rFonts w:hint="eastAsia" w:ascii="黑体" w:eastAsia="黑体" w:cs="黑体"/>
          <w:sz w:val="32"/>
          <w:szCs w:val="32"/>
        </w:rPr>
        <w:t>、贯彻执行国家、省、市有关水务方面的政策和法规；研究全区水务发展战略，拟定全区水务行政管理的实施细则和管理办法，经批准后组织实施；</w:t>
      </w:r>
      <w:r>
        <w:rPr>
          <w:rFonts w:ascii="黑体" w:eastAsia="黑体" w:cs="黑体"/>
          <w:sz w:val="32"/>
          <w:szCs w:val="32"/>
        </w:rPr>
        <w:t xml:space="preserve">      2</w:t>
      </w:r>
      <w:r>
        <w:rPr>
          <w:rFonts w:hint="eastAsia" w:ascii="黑体" w:eastAsia="黑体" w:cs="黑体"/>
          <w:sz w:val="32"/>
          <w:szCs w:val="32"/>
        </w:rPr>
        <w:t>、组织编制全区水务发展规划、中长期计划和年度计划及水资源、防洪排涝、供水、节水、水土保持、污水处理及回用、雨洪利用、海水利用等专业规划，并组织实施；</w:t>
      </w:r>
      <w:r>
        <w:rPr>
          <w:rFonts w:ascii="黑体" w:eastAsia="黑体" w:cs="黑体"/>
          <w:sz w:val="32"/>
          <w:szCs w:val="32"/>
        </w:rPr>
        <w:t xml:space="preserve">      3</w:t>
      </w:r>
      <w:r>
        <w:rPr>
          <w:rFonts w:hint="eastAsia" w:ascii="黑体" w:eastAsia="黑体" w:cs="黑体"/>
          <w:sz w:val="32"/>
          <w:szCs w:val="32"/>
        </w:rPr>
        <w:t>、统一管理全区水资源（含地表水、地下水）；制定水资源中长期供求计划、水量分配调度方案并监督实施；组织实施取水许可制度和水资源</w:t>
      </w:r>
      <w:r>
        <w:rPr>
          <w:rFonts w:hint="eastAsia" w:ascii="黑体" w:eastAsia="黑体" w:cs="黑体"/>
          <w:sz w:val="32"/>
          <w:szCs w:val="32"/>
          <w:lang w:val="en-US" w:eastAsia="zh-CN"/>
        </w:rPr>
        <w:t>费</w:t>
      </w:r>
      <w:bookmarkStart w:id="1" w:name="_GoBack"/>
      <w:bookmarkEnd w:id="1"/>
      <w:r>
        <w:rPr>
          <w:rFonts w:hint="eastAsia" w:ascii="黑体" w:eastAsia="黑体" w:cs="黑体"/>
          <w:sz w:val="32"/>
          <w:szCs w:val="32"/>
        </w:rPr>
        <w:t>征收工作；发布全区水资源公报；</w:t>
      </w:r>
      <w:r>
        <w:rPr>
          <w:rFonts w:ascii="黑体" w:eastAsia="黑体" w:cs="黑体"/>
          <w:sz w:val="32"/>
          <w:szCs w:val="32"/>
        </w:rPr>
        <w:t xml:space="preserve">      4</w:t>
      </w:r>
      <w:r>
        <w:rPr>
          <w:rFonts w:hint="eastAsia" w:ascii="黑体" w:eastAsia="黑体" w:cs="黑体"/>
          <w:sz w:val="32"/>
          <w:szCs w:val="32"/>
        </w:rPr>
        <w:t>、负责全区供水行业管理工作；监督检查公共供水和自建设施供水单位的供水水质，组织供水企业实施行业的标准和规范；</w:t>
      </w:r>
      <w:r>
        <w:rPr>
          <w:rFonts w:ascii="黑体" w:eastAsia="黑体" w:cs="黑体"/>
          <w:sz w:val="32"/>
          <w:szCs w:val="32"/>
        </w:rPr>
        <w:t xml:space="preserve">      5</w:t>
      </w:r>
      <w:r>
        <w:rPr>
          <w:rFonts w:hint="eastAsia" w:ascii="黑体" w:eastAsia="黑体" w:cs="黑体"/>
          <w:sz w:val="32"/>
          <w:szCs w:val="32"/>
        </w:rPr>
        <w:t>、负责全区计划用水、节约用水的管理；组织拟订计划用水、节约用水的有关政策和标准，并监督实施；</w:t>
      </w:r>
      <w:r>
        <w:rPr>
          <w:rFonts w:ascii="黑体" w:eastAsia="黑体" w:cs="黑体"/>
          <w:sz w:val="32"/>
          <w:szCs w:val="32"/>
        </w:rPr>
        <w:t xml:space="preserve">      6</w:t>
      </w:r>
      <w:r>
        <w:rPr>
          <w:rFonts w:hint="eastAsia" w:ascii="黑体" w:eastAsia="黑体" w:cs="黑体"/>
          <w:sz w:val="32"/>
          <w:szCs w:val="32"/>
        </w:rPr>
        <w:t>、负责全区水务工程和水务设施的管理工作；组织编制重点水务工程建设项目建议书和可行性研究报告及施工图设计；组织实施国家水务技术质量标准和水务工程的规范；组织水务工程的竣工验收工作；</w:t>
      </w:r>
      <w:r>
        <w:rPr>
          <w:rFonts w:ascii="黑体" w:eastAsia="黑体" w:cs="黑体"/>
          <w:sz w:val="32"/>
          <w:szCs w:val="32"/>
        </w:rPr>
        <w:t xml:space="preserve">      7</w:t>
      </w:r>
      <w:r>
        <w:rPr>
          <w:rFonts w:hint="eastAsia" w:ascii="黑体" w:eastAsia="黑体" w:cs="黑体"/>
          <w:sz w:val="32"/>
          <w:szCs w:val="32"/>
        </w:rPr>
        <w:t>、按照分级管理原则，负责全区河道、水库、湖泊、堤防、河口滩涂、滞洪区、行洪区、蓄洪区及其它水务设施的监督管理，负责水工程管理范围内建设项目的审批工作；</w:t>
      </w:r>
      <w:r>
        <w:rPr>
          <w:rFonts w:ascii="黑体" w:eastAsia="黑体" w:cs="黑体"/>
          <w:sz w:val="32"/>
          <w:szCs w:val="32"/>
        </w:rPr>
        <w:t xml:space="preserve">      8</w:t>
      </w:r>
      <w:r>
        <w:rPr>
          <w:rFonts w:hint="eastAsia" w:ascii="黑体" w:eastAsia="黑体" w:cs="黑体"/>
          <w:sz w:val="32"/>
          <w:szCs w:val="32"/>
        </w:rPr>
        <w:t>、参与市政排水规划的制定；负责排水行业特许经营的具体实施工作；负责排水用户排水管道接驳市政排水设施的排水许可证的核发工作；负责排水设施运行、污水处理设施维修、养护、运行的管理以及污水处理费征收、使用的管理工作；负责对各类废水排入市政排水设施进行监管并依法查处工作；</w:t>
      </w:r>
      <w:r>
        <w:rPr>
          <w:rFonts w:ascii="黑体" w:eastAsia="黑体" w:cs="黑体"/>
          <w:sz w:val="32"/>
          <w:szCs w:val="32"/>
        </w:rPr>
        <w:t xml:space="preserve">      9</w:t>
      </w:r>
      <w:r>
        <w:rPr>
          <w:rFonts w:hint="eastAsia" w:ascii="黑体" w:eastAsia="黑体" w:cs="黑体"/>
          <w:sz w:val="32"/>
          <w:szCs w:val="32"/>
        </w:rPr>
        <w:t>、负责全区水土保持工作，组织协调水土流失的监测和综合防治；</w:t>
      </w:r>
      <w:r>
        <w:rPr>
          <w:rFonts w:ascii="黑体" w:eastAsia="黑体" w:cs="黑体"/>
          <w:sz w:val="32"/>
          <w:szCs w:val="32"/>
        </w:rPr>
        <w:t xml:space="preserve">      10</w:t>
      </w:r>
      <w:r>
        <w:rPr>
          <w:rFonts w:hint="eastAsia" w:ascii="黑体" w:eastAsia="黑体" w:cs="黑体"/>
          <w:sz w:val="32"/>
          <w:szCs w:val="32"/>
        </w:rPr>
        <w:t>、负责全区水务信息化建设的组织协调和水务系统的科技工作，组织水务系统职工的业务培训；</w:t>
      </w:r>
      <w:r>
        <w:rPr>
          <w:rFonts w:ascii="黑体" w:eastAsia="黑体" w:cs="黑体"/>
          <w:sz w:val="32"/>
          <w:szCs w:val="32"/>
        </w:rPr>
        <w:t xml:space="preserve">      11</w:t>
      </w:r>
      <w:r>
        <w:rPr>
          <w:rFonts w:hint="eastAsia" w:ascii="黑体" w:eastAsia="黑体" w:cs="黑体"/>
          <w:sz w:val="32"/>
          <w:szCs w:val="32"/>
        </w:rPr>
        <w:t>、负责全区城市化转地后水务国有土地的管理；负责全区水政监察和水行政执法工作，调解水事纠纷；</w:t>
      </w:r>
      <w:r>
        <w:rPr>
          <w:rFonts w:ascii="黑体" w:eastAsia="黑体" w:cs="黑体"/>
          <w:sz w:val="32"/>
          <w:szCs w:val="32"/>
        </w:rPr>
        <w:t xml:space="preserve">      12</w:t>
      </w:r>
      <w:r>
        <w:rPr>
          <w:rFonts w:hint="eastAsia" w:ascii="黑体" w:eastAsia="黑体" w:cs="黑体"/>
          <w:sz w:val="32"/>
          <w:szCs w:val="32"/>
        </w:rPr>
        <w:t>、代管区三防指挥部办公室，指导各街道办事处水务工作；</w:t>
      </w:r>
      <w:r>
        <w:rPr>
          <w:rFonts w:ascii="黑体" w:eastAsia="黑体" w:cs="黑体"/>
          <w:sz w:val="32"/>
          <w:szCs w:val="32"/>
        </w:rPr>
        <w:t xml:space="preserve">      13</w:t>
      </w:r>
      <w:r>
        <w:rPr>
          <w:rFonts w:hint="eastAsia" w:ascii="黑体" w:eastAsia="黑体" w:cs="黑体"/>
          <w:sz w:val="32"/>
          <w:szCs w:val="32"/>
        </w:rPr>
        <w:t>、承办上级交办的其它事项</w:t>
      </w:r>
    </w:p>
    <w:p w14:paraId="1F28560B">
      <w:pPr>
        <w:jc w:val="left"/>
        <w:rPr>
          <w:rFonts w:ascii="黑体" w:eastAsia="黑体" w:cs="黑体"/>
          <w:sz w:val="32"/>
          <w:szCs w:val="32"/>
        </w:rPr>
      </w:pPr>
      <w:r>
        <w:rPr>
          <w:rFonts w:hint="eastAsia" w:ascii="黑体" w:eastAsia="黑体" w:cs="黑体"/>
          <w:sz w:val="32"/>
          <w:szCs w:val="32"/>
        </w:rPr>
        <w:t>部门机构设置</w:t>
      </w:r>
    </w:p>
    <w:p w14:paraId="56581607">
      <w:pPr>
        <w:jc w:val="center"/>
        <w:outlineLvl w:val="0"/>
        <w:rPr>
          <w:rFonts w:ascii="方正小标宋_GBK" w:eastAsia="方正小标宋_GBK"/>
          <w:sz w:val="32"/>
        </w:rPr>
      </w:pPr>
    </w:p>
    <w:bookmarkEnd w:id="0"/>
    <w:p w14:paraId="668C9387">
      <w:pPr>
        <w:jc w:val="center"/>
        <w:outlineLvl w:val="0"/>
        <w:rPr>
          <w:rFonts w:ascii="方正小标宋_GBK" w:eastAsia="方正小标宋_GBK"/>
          <w:sz w:val="32"/>
        </w:rPr>
      </w:pPr>
      <w:r>
        <w:rPr>
          <w:rFonts w:hint="eastAsia" w:ascii="方正小标宋_GBK" w:eastAsia="方正小标宋_GBK"/>
          <w:sz w:val="32"/>
        </w:rPr>
        <w:t>机构设置</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07"/>
        <w:gridCol w:w="1432"/>
        <w:gridCol w:w="1845"/>
        <w:gridCol w:w="385"/>
        <w:gridCol w:w="2990"/>
        <w:gridCol w:w="817"/>
      </w:tblGrid>
      <w:tr w14:paraId="40C5C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817" w:type="dxa"/>
          <w:trHeight w:val="227" w:hRule="atLeast"/>
          <w:tblHeader/>
          <w:jc w:val="center"/>
        </w:trPr>
        <w:tc>
          <w:tcPr>
            <w:tcW w:w="5969" w:type="dxa"/>
            <w:gridSpan w:val="4"/>
            <w:tcBorders>
              <w:top w:val="single" w:color="FFFFFF" w:sz="6" w:space="0"/>
              <w:left w:val="single" w:color="FFFFFF" w:sz="6" w:space="0"/>
              <w:right w:val="single" w:color="FFFFFF" w:sz="6" w:space="0"/>
            </w:tcBorders>
            <w:vAlign w:val="center"/>
          </w:tcPr>
          <w:p w14:paraId="650FBCC1">
            <w:pPr>
              <w:spacing w:line="300" w:lineRule="exact"/>
              <w:jc w:val="left"/>
              <w:rPr>
                <w:rFonts w:ascii="方正小标宋_GBK" w:eastAsia="方正小标宋_GBK"/>
                <w:sz w:val="24"/>
              </w:rPr>
            </w:pPr>
          </w:p>
        </w:tc>
        <w:tc>
          <w:tcPr>
            <w:tcW w:w="2990" w:type="dxa"/>
            <w:tcBorders>
              <w:top w:val="single" w:color="FFFFFF" w:sz="6" w:space="0"/>
              <w:left w:val="single" w:color="FFFFFF" w:sz="6" w:space="0"/>
              <w:right w:val="single" w:color="FFFFFF" w:sz="6" w:space="0"/>
            </w:tcBorders>
            <w:vAlign w:val="center"/>
          </w:tcPr>
          <w:p w14:paraId="1C347673">
            <w:pPr>
              <w:spacing w:line="300" w:lineRule="exact"/>
              <w:jc w:val="right"/>
              <w:rPr>
                <w:rFonts w:ascii="方正小标宋_GBK" w:eastAsia="方正小标宋_GBK"/>
                <w:sz w:val="24"/>
              </w:rPr>
            </w:pPr>
            <w:r>
              <w:rPr>
                <w:rFonts w:ascii="方正小标宋_GBK" w:eastAsia="方正小标宋_GBK"/>
                <w:sz w:val="24"/>
              </w:rPr>
              <w:t xml:space="preserve"> </w:t>
            </w:r>
          </w:p>
        </w:tc>
      </w:tr>
      <w:tr w14:paraId="442A2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12" w:hRule="atLeast"/>
          <w:tblHeader/>
          <w:jc w:val="center"/>
        </w:trPr>
        <w:tc>
          <w:tcPr>
            <w:tcW w:w="2307" w:type="dxa"/>
            <w:vMerge w:val="restart"/>
            <w:vAlign w:val="center"/>
          </w:tcPr>
          <w:p w14:paraId="052525B9">
            <w:pPr>
              <w:spacing w:line="300" w:lineRule="exact"/>
              <w:jc w:val="center"/>
              <w:rPr>
                <w:rFonts w:ascii="方正书宋_GBK" w:eastAsia="方正书宋_GBK"/>
                <w:b/>
              </w:rPr>
            </w:pPr>
            <w:r>
              <w:rPr>
                <w:rFonts w:hint="eastAsia" w:ascii="方正书宋_GBK" w:eastAsia="方正书宋_GBK"/>
                <w:b/>
              </w:rPr>
              <w:t>单位名称</w:t>
            </w:r>
          </w:p>
        </w:tc>
        <w:tc>
          <w:tcPr>
            <w:tcW w:w="1432" w:type="dxa"/>
            <w:vMerge w:val="restart"/>
            <w:vAlign w:val="center"/>
          </w:tcPr>
          <w:p w14:paraId="518AD94E">
            <w:pPr>
              <w:spacing w:line="300" w:lineRule="exact"/>
              <w:jc w:val="center"/>
              <w:rPr>
                <w:rFonts w:ascii="方正书宋_GBK" w:eastAsia="方正书宋_GBK"/>
                <w:b/>
              </w:rPr>
            </w:pPr>
            <w:r>
              <w:rPr>
                <w:rFonts w:hint="eastAsia" w:ascii="方正书宋_GBK" w:eastAsia="方正书宋_GBK"/>
                <w:b/>
              </w:rPr>
              <w:t>单位性质</w:t>
            </w:r>
          </w:p>
        </w:tc>
        <w:tc>
          <w:tcPr>
            <w:tcW w:w="1845" w:type="dxa"/>
            <w:vMerge w:val="restart"/>
            <w:vAlign w:val="center"/>
          </w:tcPr>
          <w:p w14:paraId="1A68115E">
            <w:pPr>
              <w:spacing w:line="300" w:lineRule="exact"/>
              <w:jc w:val="center"/>
              <w:rPr>
                <w:rFonts w:ascii="方正书宋_GBK" w:eastAsia="方正书宋_GBK"/>
                <w:b/>
              </w:rPr>
            </w:pPr>
            <w:r>
              <w:rPr>
                <w:rFonts w:hint="eastAsia" w:ascii="方正书宋_GBK" w:eastAsia="方正书宋_GBK"/>
                <w:b/>
              </w:rPr>
              <w:t>单位规格</w:t>
            </w:r>
          </w:p>
        </w:tc>
        <w:tc>
          <w:tcPr>
            <w:tcW w:w="4192" w:type="dxa"/>
            <w:gridSpan w:val="3"/>
            <w:vMerge w:val="restart"/>
            <w:vAlign w:val="center"/>
          </w:tcPr>
          <w:p w14:paraId="37668EAD">
            <w:pPr>
              <w:spacing w:line="300" w:lineRule="exact"/>
              <w:jc w:val="center"/>
              <w:rPr>
                <w:rFonts w:ascii="方正书宋_GBK" w:eastAsia="方正书宋_GBK"/>
                <w:b/>
              </w:rPr>
            </w:pPr>
            <w:r>
              <w:rPr>
                <w:rFonts w:hint="eastAsia" w:ascii="方正书宋_GBK" w:eastAsia="方正书宋_GBK"/>
                <w:b/>
              </w:rPr>
              <w:t>经费保障形式</w:t>
            </w:r>
          </w:p>
        </w:tc>
      </w:tr>
      <w:tr w14:paraId="2548A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12" w:hRule="atLeast"/>
          <w:tblHeader/>
          <w:jc w:val="center"/>
        </w:trPr>
        <w:tc>
          <w:tcPr>
            <w:tcW w:w="2307" w:type="dxa"/>
            <w:vMerge w:val="continue"/>
            <w:vAlign w:val="center"/>
          </w:tcPr>
          <w:p w14:paraId="328BB0C1"/>
        </w:tc>
        <w:tc>
          <w:tcPr>
            <w:tcW w:w="1432" w:type="dxa"/>
            <w:vMerge w:val="continue"/>
            <w:vAlign w:val="center"/>
          </w:tcPr>
          <w:p w14:paraId="2810C7C6"/>
        </w:tc>
        <w:tc>
          <w:tcPr>
            <w:tcW w:w="1845" w:type="dxa"/>
            <w:vMerge w:val="continue"/>
            <w:vAlign w:val="center"/>
          </w:tcPr>
          <w:p w14:paraId="48237028"/>
        </w:tc>
        <w:tc>
          <w:tcPr>
            <w:tcW w:w="4192" w:type="dxa"/>
            <w:gridSpan w:val="3"/>
            <w:vMerge w:val="continue"/>
            <w:vAlign w:val="center"/>
          </w:tcPr>
          <w:p w14:paraId="55C609B8"/>
        </w:tc>
      </w:tr>
      <w:tr w14:paraId="4E10E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07" w:type="dxa"/>
            <w:vAlign w:val="center"/>
          </w:tcPr>
          <w:p w14:paraId="589B5C10">
            <w:pPr>
              <w:spacing w:line="300" w:lineRule="exact"/>
              <w:rPr>
                <w:rFonts w:ascii="方正书宋_GBK" w:eastAsia="方正书宋_GBK"/>
                <w:b/>
              </w:rPr>
            </w:pPr>
            <w:r>
              <w:rPr>
                <w:rFonts w:hint="eastAsia" w:ascii="方正书宋_GBK" w:eastAsia="方正书宋_GBK"/>
                <w:b/>
              </w:rPr>
              <w:t>深泽县水务局</w:t>
            </w:r>
          </w:p>
        </w:tc>
        <w:tc>
          <w:tcPr>
            <w:tcW w:w="1432" w:type="dxa"/>
            <w:vAlign w:val="center"/>
          </w:tcPr>
          <w:p w14:paraId="79827E26">
            <w:pPr>
              <w:spacing w:line="300" w:lineRule="exact"/>
              <w:jc w:val="left"/>
              <w:rPr>
                <w:rFonts w:ascii="方正书宋_GBK" w:eastAsia="方正书宋_GBK"/>
                <w:b/>
              </w:rPr>
            </w:pPr>
            <w:r>
              <w:rPr>
                <w:rFonts w:hint="eastAsia" w:ascii="方正书宋_GBK" w:eastAsia="方正书宋_GBK"/>
                <w:b/>
              </w:rPr>
              <w:t>事业</w:t>
            </w:r>
          </w:p>
        </w:tc>
        <w:tc>
          <w:tcPr>
            <w:tcW w:w="1845" w:type="dxa"/>
            <w:vAlign w:val="center"/>
          </w:tcPr>
          <w:p w14:paraId="051CAC2B">
            <w:pPr>
              <w:spacing w:line="300" w:lineRule="exact"/>
              <w:jc w:val="left"/>
              <w:rPr>
                <w:rFonts w:ascii="方正书宋_GBK" w:eastAsia="方正书宋_GBK"/>
                <w:b/>
              </w:rPr>
            </w:pPr>
            <w:r>
              <w:rPr>
                <w:rFonts w:hint="eastAsia" w:ascii="方正书宋_GBK" w:eastAsia="方正书宋_GBK"/>
                <w:b/>
              </w:rPr>
              <w:t>正科级</w:t>
            </w:r>
          </w:p>
        </w:tc>
        <w:tc>
          <w:tcPr>
            <w:tcW w:w="4192" w:type="dxa"/>
            <w:gridSpan w:val="3"/>
            <w:vAlign w:val="center"/>
          </w:tcPr>
          <w:p w14:paraId="3A2AE997">
            <w:pPr>
              <w:spacing w:line="300" w:lineRule="exact"/>
              <w:jc w:val="left"/>
              <w:rPr>
                <w:rFonts w:ascii="方正书宋_GBK" w:eastAsia="方正书宋_GBK"/>
                <w:b/>
              </w:rPr>
            </w:pPr>
            <w:r>
              <w:rPr>
                <w:rFonts w:hint="eastAsia" w:ascii="方正书宋_GBK" w:eastAsia="方正书宋_GBK"/>
                <w:b/>
              </w:rPr>
              <w:t>全额</w:t>
            </w:r>
          </w:p>
        </w:tc>
      </w:tr>
      <w:tr w14:paraId="066C2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07" w:type="dxa"/>
            <w:vAlign w:val="center"/>
          </w:tcPr>
          <w:p w14:paraId="09EFCD56">
            <w:pPr>
              <w:spacing w:line="300" w:lineRule="exact"/>
              <w:jc w:val="left"/>
              <w:rPr>
                <w:rFonts w:ascii="方正书宋_GBK" w:eastAsia="方正书宋_GBK"/>
              </w:rPr>
            </w:pPr>
          </w:p>
        </w:tc>
        <w:tc>
          <w:tcPr>
            <w:tcW w:w="1432" w:type="dxa"/>
            <w:vAlign w:val="center"/>
          </w:tcPr>
          <w:p w14:paraId="120BB021">
            <w:pPr>
              <w:spacing w:line="300" w:lineRule="exact"/>
              <w:jc w:val="left"/>
              <w:rPr>
                <w:rFonts w:ascii="方正书宋_GBK" w:eastAsia="方正书宋_GBK"/>
              </w:rPr>
            </w:pPr>
          </w:p>
        </w:tc>
        <w:tc>
          <w:tcPr>
            <w:tcW w:w="1845" w:type="dxa"/>
            <w:vAlign w:val="center"/>
          </w:tcPr>
          <w:p w14:paraId="3BF54440">
            <w:pPr>
              <w:spacing w:line="300" w:lineRule="exact"/>
              <w:jc w:val="left"/>
              <w:rPr>
                <w:rFonts w:ascii="方正书宋_GBK" w:eastAsia="方正书宋_GBK"/>
              </w:rPr>
            </w:pPr>
          </w:p>
        </w:tc>
        <w:tc>
          <w:tcPr>
            <w:tcW w:w="4192" w:type="dxa"/>
            <w:gridSpan w:val="3"/>
            <w:vAlign w:val="center"/>
          </w:tcPr>
          <w:p w14:paraId="5766B04D">
            <w:pPr>
              <w:spacing w:line="300" w:lineRule="exact"/>
              <w:jc w:val="left"/>
              <w:rPr>
                <w:rFonts w:ascii="方正书宋_GBK" w:eastAsia="方正书宋_GBK"/>
              </w:rPr>
            </w:pPr>
          </w:p>
        </w:tc>
      </w:tr>
      <w:tr w14:paraId="217BA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07" w:type="dxa"/>
            <w:vAlign w:val="center"/>
          </w:tcPr>
          <w:p w14:paraId="512654BA">
            <w:pPr>
              <w:spacing w:line="300" w:lineRule="exact"/>
              <w:jc w:val="left"/>
              <w:rPr>
                <w:rFonts w:ascii="方正书宋_GBK" w:eastAsia="方正书宋_GBK"/>
              </w:rPr>
            </w:pPr>
          </w:p>
        </w:tc>
        <w:tc>
          <w:tcPr>
            <w:tcW w:w="1432" w:type="dxa"/>
            <w:vAlign w:val="center"/>
          </w:tcPr>
          <w:p w14:paraId="08F05F4A">
            <w:pPr>
              <w:spacing w:line="300" w:lineRule="exact"/>
              <w:jc w:val="left"/>
              <w:rPr>
                <w:rFonts w:ascii="方正书宋_GBK" w:eastAsia="方正书宋_GBK"/>
              </w:rPr>
            </w:pPr>
          </w:p>
        </w:tc>
        <w:tc>
          <w:tcPr>
            <w:tcW w:w="1845" w:type="dxa"/>
            <w:vAlign w:val="center"/>
          </w:tcPr>
          <w:p w14:paraId="5A726FA9">
            <w:pPr>
              <w:spacing w:line="300" w:lineRule="exact"/>
              <w:jc w:val="left"/>
              <w:rPr>
                <w:rFonts w:ascii="方正书宋_GBK" w:eastAsia="方正书宋_GBK"/>
              </w:rPr>
            </w:pPr>
          </w:p>
        </w:tc>
        <w:tc>
          <w:tcPr>
            <w:tcW w:w="4192" w:type="dxa"/>
            <w:gridSpan w:val="3"/>
            <w:vAlign w:val="center"/>
          </w:tcPr>
          <w:p w14:paraId="3B0912FF">
            <w:pPr>
              <w:spacing w:line="300" w:lineRule="exact"/>
              <w:jc w:val="left"/>
              <w:rPr>
                <w:rFonts w:ascii="方正书宋_GBK" w:eastAsia="方正书宋_GBK"/>
              </w:rPr>
            </w:pPr>
          </w:p>
        </w:tc>
      </w:tr>
      <w:tr w14:paraId="25777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07" w:type="dxa"/>
            <w:vAlign w:val="center"/>
          </w:tcPr>
          <w:p w14:paraId="438A9880">
            <w:pPr>
              <w:spacing w:line="300" w:lineRule="exact"/>
              <w:jc w:val="left"/>
              <w:rPr>
                <w:rFonts w:ascii="方正书宋_GBK" w:eastAsia="方正书宋_GBK"/>
              </w:rPr>
            </w:pPr>
          </w:p>
        </w:tc>
        <w:tc>
          <w:tcPr>
            <w:tcW w:w="1432" w:type="dxa"/>
            <w:vAlign w:val="center"/>
          </w:tcPr>
          <w:p w14:paraId="091DE952">
            <w:pPr>
              <w:spacing w:line="300" w:lineRule="exact"/>
              <w:jc w:val="left"/>
              <w:rPr>
                <w:rFonts w:ascii="方正书宋_GBK" w:eastAsia="方正书宋_GBK"/>
              </w:rPr>
            </w:pPr>
          </w:p>
        </w:tc>
        <w:tc>
          <w:tcPr>
            <w:tcW w:w="1845" w:type="dxa"/>
            <w:vAlign w:val="center"/>
          </w:tcPr>
          <w:p w14:paraId="3376704E">
            <w:pPr>
              <w:spacing w:line="300" w:lineRule="exact"/>
              <w:jc w:val="left"/>
              <w:rPr>
                <w:rFonts w:ascii="方正书宋_GBK" w:eastAsia="方正书宋_GBK"/>
              </w:rPr>
            </w:pPr>
          </w:p>
        </w:tc>
        <w:tc>
          <w:tcPr>
            <w:tcW w:w="4192" w:type="dxa"/>
            <w:gridSpan w:val="3"/>
            <w:vAlign w:val="center"/>
          </w:tcPr>
          <w:p w14:paraId="0B0E90C1">
            <w:pPr>
              <w:spacing w:line="300" w:lineRule="exact"/>
              <w:jc w:val="left"/>
              <w:rPr>
                <w:rFonts w:ascii="方正书宋_GBK" w:eastAsia="方正书宋_GBK"/>
              </w:rPr>
            </w:pPr>
          </w:p>
        </w:tc>
      </w:tr>
      <w:tr w14:paraId="1B3E0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2" w:hRule="atLeast"/>
          <w:jc w:val="center"/>
        </w:trPr>
        <w:tc>
          <w:tcPr>
            <w:tcW w:w="2307" w:type="dxa"/>
            <w:vAlign w:val="center"/>
          </w:tcPr>
          <w:p w14:paraId="72D73BA9">
            <w:pPr>
              <w:spacing w:line="300" w:lineRule="exact"/>
              <w:jc w:val="left"/>
              <w:rPr>
                <w:rFonts w:ascii="方正书宋_GBK" w:eastAsia="方正书宋_GBK"/>
              </w:rPr>
            </w:pPr>
          </w:p>
        </w:tc>
        <w:tc>
          <w:tcPr>
            <w:tcW w:w="1432" w:type="dxa"/>
            <w:vAlign w:val="center"/>
          </w:tcPr>
          <w:p w14:paraId="351759C5">
            <w:pPr>
              <w:spacing w:line="300" w:lineRule="exact"/>
              <w:jc w:val="left"/>
              <w:rPr>
                <w:rFonts w:ascii="方正书宋_GBK" w:eastAsia="方正书宋_GBK"/>
              </w:rPr>
            </w:pPr>
          </w:p>
        </w:tc>
        <w:tc>
          <w:tcPr>
            <w:tcW w:w="1845" w:type="dxa"/>
            <w:vAlign w:val="center"/>
          </w:tcPr>
          <w:p w14:paraId="37EB6DDC">
            <w:pPr>
              <w:spacing w:line="300" w:lineRule="exact"/>
              <w:jc w:val="left"/>
              <w:rPr>
                <w:rFonts w:ascii="方正书宋_GBK" w:eastAsia="方正书宋_GBK"/>
              </w:rPr>
            </w:pPr>
          </w:p>
        </w:tc>
        <w:tc>
          <w:tcPr>
            <w:tcW w:w="4192" w:type="dxa"/>
            <w:gridSpan w:val="3"/>
            <w:vAlign w:val="center"/>
          </w:tcPr>
          <w:p w14:paraId="2333B430">
            <w:pPr>
              <w:spacing w:line="300" w:lineRule="exact"/>
              <w:jc w:val="left"/>
              <w:rPr>
                <w:rFonts w:ascii="方正书宋_GBK" w:eastAsia="方正书宋_GBK"/>
              </w:rPr>
            </w:pPr>
          </w:p>
        </w:tc>
      </w:tr>
      <w:tr w14:paraId="2E6B0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07" w:type="dxa"/>
            <w:vAlign w:val="center"/>
          </w:tcPr>
          <w:p w14:paraId="63403DC0">
            <w:pPr>
              <w:spacing w:line="300" w:lineRule="exact"/>
              <w:jc w:val="left"/>
              <w:rPr>
                <w:rFonts w:ascii="方正书宋_GBK" w:eastAsia="方正书宋_GBK"/>
              </w:rPr>
            </w:pPr>
          </w:p>
        </w:tc>
        <w:tc>
          <w:tcPr>
            <w:tcW w:w="1432" w:type="dxa"/>
            <w:vAlign w:val="center"/>
          </w:tcPr>
          <w:p w14:paraId="3E04CE44">
            <w:pPr>
              <w:spacing w:line="300" w:lineRule="exact"/>
              <w:jc w:val="left"/>
              <w:rPr>
                <w:rFonts w:ascii="方正书宋_GBK" w:eastAsia="方正书宋_GBK"/>
              </w:rPr>
            </w:pPr>
          </w:p>
        </w:tc>
        <w:tc>
          <w:tcPr>
            <w:tcW w:w="1845" w:type="dxa"/>
            <w:vAlign w:val="center"/>
          </w:tcPr>
          <w:p w14:paraId="7AC92238">
            <w:pPr>
              <w:spacing w:line="300" w:lineRule="exact"/>
              <w:jc w:val="left"/>
              <w:rPr>
                <w:rFonts w:ascii="方正书宋_GBK" w:eastAsia="方正书宋_GBK"/>
              </w:rPr>
            </w:pPr>
          </w:p>
        </w:tc>
        <w:tc>
          <w:tcPr>
            <w:tcW w:w="4192" w:type="dxa"/>
            <w:gridSpan w:val="3"/>
            <w:vAlign w:val="center"/>
          </w:tcPr>
          <w:p w14:paraId="580BBA0C">
            <w:pPr>
              <w:spacing w:line="300" w:lineRule="exact"/>
              <w:jc w:val="left"/>
              <w:rPr>
                <w:rFonts w:ascii="方正书宋_GBK" w:eastAsia="方正书宋_GBK"/>
              </w:rPr>
            </w:pPr>
          </w:p>
        </w:tc>
      </w:tr>
      <w:tr w14:paraId="2C8E9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07" w:type="dxa"/>
            <w:vAlign w:val="center"/>
          </w:tcPr>
          <w:p w14:paraId="3BB4AF3B">
            <w:pPr>
              <w:spacing w:line="300" w:lineRule="exact"/>
              <w:jc w:val="left"/>
              <w:rPr>
                <w:rFonts w:ascii="方正书宋_GBK" w:eastAsia="方正书宋_GBK"/>
              </w:rPr>
            </w:pPr>
          </w:p>
        </w:tc>
        <w:tc>
          <w:tcPr>
            <w:tcW w:w="1432" w:type="dxa"/>
            <w:vAlign w:val="center"/>
          </w:tcPr>
          <w:p w14:paraId="6F3ED38F">
            <w:pPr>
              <w:spacing w:line="300" w:lineRule="exact"/>
              <w:jc w:val="left"/>
              <w:rPr>
                <w:rFonts w:ascii="方正书宋_GBK" w:eastAsia="方正书宋_GBK"/>
              </w:rPr>
            </w:pPr>
          </w:p>
        </w:tc>
        <w:tc>
          <w:tcPr>
            <w:tcW w:w="1845" w:type="dxa"/>
            <w:vAlign w:val="center"/>
          </w:tcPr>
          <w:p w14:paraId="5B470127">
            <w:pPr>
              <w:spacing w:line="300" w:lineRule="exact"/>
              <w:jc w:val="left"/>
              <w:rPr>
                <w:rFonts w:ascii="方正书宋_GBK" w:eastAsia="方正书宋_GBK"/>
              </w:rPr>
            </w:pPr>
          </w:p>
        </w:tc>
        <w:tc>
          <w:tcPr>
            <w:tcW w:w="4192" w:type="dxa"/>
            <w:gridSpan w:val="3"/>
            <w:vAlign w:val="center"/>
          </w:tcPr>
          <w:p w14:paraId="58645192">
            <w:pPr>
              <w:spacing w:line="300" w:lineRule="exact"/>
              <w:jc w:val="left"/>
              <w:rPr>
                <w:rFonts w:ascii="方正书宋_GBK" w:eastAsia="方正书宋_GBK"/>
              </w:rPr>
            </w:pPr>
          </w:p>
        </w:tc>
      </w:tr>
      <w:tr w14:paraId="64350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07" w:type="dxa"/>
            <w:vAlign w:val="center"/>
          </w:tcPr>
          <w:p w14:paraId="15AB2ACC">
            <w:pPr>
              <w:spacing w:line="300" w:lineRule="exact"/>
              <w:jc w:val="left"/>
              <w:rPr>
                <w:rFonts w:ascii="方正书宋_GBK" w:eastAsia="方正书宋_GBK"/>
              </w:rPr>
            </w:pPr>
          </w:p>
        </w:tc>
        <w:tc>
          <w:tcPr>
            <w:tcW w:w="1432" w:type="dxa"/>
            <w:vAlign w:val="center"/>
          </w:tcPr>
          <w:p w14:paraId="045AE38F">
            <w:pPr>
              <w:spacing w:line="300" w:lineRule="exact"/>
              <w:jc w:val="left"/>
              <w:rPr>
                <w:rFonts w:ascii="方正书宋_GBK" w:eastAsia="方正书宋_GBK"/>
              </w:rPr>
            </w:pPr>
          </w:p>
        </w:tc>
        <w:tc>
          <w:tcPr>
            <w:tcW w:w="1845" w:type="dxa"/>
            <w:vAlign w:val="center"/>
          </w:tcPr>
          <w:p w14:paraId="14031680">
            <w:pPr>
              <w:spacing w:line="300" w:lineRule="exact"/>
              <w:jc w:val="left"/>
              <w:rPr>
                <w:rFonts w:ascii="方正书宋_GBK" w:eastAsia="方正书宋_GBK"/>
              </w:rPr>
            </w:pPr>
          </w:p>
        </w:tc>
        <w:tc>
          <w:tcPr>
            <w:tcW w:w="4192" w:type="dxa"/>
            <w:gridSpan w:val="3"/>
            <w:vAlign w:val="center"/>
          </w:tcPr>
          <w:p w14:paraId="39669E7E">
            <w:pPr>
              <w:spacing w:line="300" w:lineRule="exact"/>
              <w:jc w:val="left"/>
              <w:rPr>
                <w:rFonts w:ascii="方正书宋_GBK" w:eastAsia="方正书宋_GBK"/>
              </w:rPr>
            </w:pPr>
          </w:p>
        </w:tc>
      </w:tr>
      <w:tr w14:paraId="10072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07" w:type="dxa"/>
            <w:vAlign w:val="center"/>
          </w:tcPr>
          <w:p w14:paraId="35119126">
            <w:pPr>
              <w:spacing w:line="300" w:lineRule="exact"/>
              <w:jc w:val="left"/>
              <w:rPr>
                <w:rFonts w:ascii="方正书宋_GBK" w:eastAsia="方正书宋_GBK"/>
              </w:rPr>
            </w:pPr>
          </w:p>
        </w:tc>
        <w:tc>
          <w:tcPr>
            <w:tcW w:w="1432" w:type="dxa"/>
            <w:vAlign w:val="center"/>
          </w:tcPr>
          <w:p w14:paraId="05925F5D">
            <w:pPr>
              <w:spacing w:line="300" w:lineRule="exact"/>
              <w:jc w:val="left"/>
              <w:rPr>
                <w:rFonts w:ascii="方正书宋_GBK" w:eastAsia="方正书宋_GBK"/>
              </w:rPr>
            </w:pPr>
          </w:p>
        </w:tc>
        <w:tc>
          <w:tcPr>
            <w:tcW w:w="1845" w:type="dxa"/>
            <w:vAlign w:val="center"/>
          </w:tcPr>
          <w:p w14:paraId="1C0F0CA3">
            <w:pPr>
              <w:spacing w:line="300" w:lineRule="exact"/>
              <w:jc w:val="left"/>
              <w:rPr>
                <w:rFonts w:ascii="方正书宋_GBK" w:eastAsia="方正书宋_GBK"/>
              </w:rPr>
            </w:pPr>
          </w:p>
        </w:tc>
        <w:tc>
          <w:tcPr>
            <w:tcW w:w="4192" w:type="dxa"/>
            <w:gridSpan w:val="3"/>
            <w:vAlign w:val="center"/>
          </w:tcPr>
          <w:p w14:paraId="7860AD17">
            <w:pPr>
              <w:spacing w:line="300" w:lineRule="exact"/>
              <w:jc w:val="left"/>
              <w:rPr>
                <w:rFonts w:ascii="方正书宋_GBK" w:eastAsia="方正书宋_GBK"/>
              </w:rPr>
            </w:pPr>
          </w:p>
        </w:tc>
      </w:tr>
    </w:tbl>
    <w:p w14:paraId="5575BFA4">
      <w:pPr>
        <w:outlineLvl w:val="0"/>
        <w:rPr>
          <w:rFonts w:ascii="方正小标宋_GBK" w:eastAsia="方正小标宋_GBK"/>
          <w:sz w:val="32"/>
        </w:rPr>
      </w:pPr>
    </w:p>
    <w:p w14:paraId="7273F0B5"/>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宋体"/>
    <w:panose1 w:val="00000000000000000000"/>
    <w:charset w:val="86"/>
    <w:family w:val="roman"/>
    <w:pitch w:val="default"/>
    <w:sig w:usb0="00000000" w:usb1="00000000" w:usb2="00000010" w:usb3="00000000" w:csb0="00040000" w:csb1="00000000"/>
  </w:font>
  <w:font w:name="方正书宋_GBK">
    <w:altName w:val="宋体"/>
    <w:panose1 w:val="00000000000000000000"/>
    <w:charset w:val="86"/>
    <w:family w:val="roman"/>
    <w:pitch w:val="default"/>
    <w:sig w:usb0="00000000" w:usb1="00000000" w:usb2="0000001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IzMTFiNTlmOWEzNTZkMGRkMTcxMjU1MDY1NjQyMmIifQ=="/>
  </w:docVars>
  <w:rsids>
    <w:rsidRoot w:val="008416DE"/>
    <w:rsid w:val="000455B9"/>
    <w:rsid w:val="00232E21"/>
    <w:rsid w:val="00507D90"/>
    <w:rsid w:val="008416DE"/>
    <w:rsid w:val="008E42E1"/>
    <w:rsid w:val="009B7E42"/>
    <w:rsid w:val="00A81622"/>
    <w:rsid w:val="00C35996"/>
    <w:rsid w:val="00D30564"/>
    <w:rsid w:val="00FE5EC3"/>
    <w:rsid w:val="51E7154B"/>
    <w:rsid w:val="5D5757D7"/>
    <w:rsid w:val="62E03CD2"/>
    <w:rsid w:val="7A196AD6"/>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unhideWhenUsed="0" w:uiPriority="99" w:name="header"/>
    <w:lsdException w:unhideWhenUsed="0" w:uiPriority="99"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iPriority w:val="99"/>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semiHidden/>
    <w:uiPriority w:val="99"/>
    <w:pPr>
      <w:tabs>
        <w:tab w:val="center" w:pos="4153"/>
        <w:tab w:val="right" w:pos="8306"/>
      </w:tabs>
      <w:snapToGrid w:val="0"/>
      <w:jc w:val="left"/>
    </w:pPr>
    <w:rPr>
      <w:rFonts w:ascii="Calibri" w:hAnsi="Calibri"/>
      <w:sz w:val="18"/>
      <w:szCs w:val="18"/>
    </w:rPr>
  </w:style>
  <w:style w:type="paragraph" w:styleId="3">
    <w:name w:val="header"/>
    <w:basedOn w:val="1"/>
    <w:link w:val="6"/>
    <w:semiHidden/>
    <w:uiPriority w:val="99"/>
    <w:pPr>
      <w:pBdr>
        <w:bottom w:val="single" w:color="auto" w:sz="6" w:space="1"/>
      </w:pBdr>
      <w:tabs>
        <w:tab w:val="center" w:pos="4153"/>
        <w:tab w:val="right" w:pos="8306"/>
      </w:tabs>
      <w:snapToGrid w:val="0"/>
      <w:jc w:val="center"/>
    </w:pPr>
    <w:rPr>
      <w:rFonts w:ascii="Calibri" w:hAnsi="Calibri"/>
      <w:sz w:val="18"/>
      <w:szCs w:val="18"/>
    </w:rPr>
  </w:style>
  <w:style w:type="character" w:customStyle="1" w:styleId="6">
    <w:name w:val="Header Char"/>
    <w:basedOn w:val="5"/>
    <w:link w:val="3"/>
    <w:semiHidden/>
    <w:locked/>
    <w:uiPriority w:val="99"/>
    <w:rPr>
      <w:rFonts w:cs="Times New Roman"/>
      <w:sz w:val="18"/>
      <w:szCs w:val="18"/>
    </w:rPr>
  </w:style>
  <w:style w:type="character" w:customStyle="1" w:styleId="7">
    <w:name w:val="Footer Char"/>
    <w:basedOn w:val="5"/>
    <w:link w:val="2"/>
    <w:semiHidden/>
    <w:locked/>
    <w:uiPriority w:val="99"/>
    <w:rPr>
      <w:rFonts w:cs="Times New Roman"/>
      <w:sz w:val="18"/>
      <w:szCs w:val="18"/>
    </w:rPr>
  </w:style>
  <w:style w:type="paragraph" w:customStyle="1" w:styleId="8">
    <w:name w:val="reader-word-layer"/>
    <w:basedOn w:val="1"/>
    <w:qFormat/>
    <w:uiPriority w:val="99"/>
    <w:pPr>
      <w:widowControl/>
      <w:spacing w:before="100" w:beforeAutospacing="1" w:after="100" w:afterAutospacing="1"/>
      <w:jc w:val="left"/>
    </w:pPr>
    <w:rPr>
      <w:rFonts w:ascii="宋体" w:hAnsi="宋体" w:cs="宋体"/>
      <w:kern w:val="0"/>
      <w:sz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Normal_Wordconv.dotm</Template>
  <Company>Lenovo</Company>
  <Pages>2</Pages>
  <Words>825</Words>
  <Characters>829</Characters>
  <Lines>0</Lines>
  <Paragraphs>0</Paragraphs>
  <TotalTime>10</TotalTime>
  <ScaleCrop>false</ScaleCrop>
  <LinksUpToDate>false</LinksUpToDate>
  <CharactersWithSpaces>903</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2016-11-26T01:31:00Z</dcterms:created>
  <dc:creator>lenovo</dc:creator>
  <cp:lastModifiedBy>Administrator</cp:lastModifiedBy>
  <dcterms:modified xsi:type="dcterms:W3CDTF">2024-09-27T07:21:48Z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0A1AA353E5244F70980908075D1D0F3C_13</vt:lpwstr>
  </property>
</Properties>
</file>