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cx="http://schemas.microsoft.com/office/drawing/2014/chartex">
  <w:body>
    <w:p>
      <w:pPr>
        <w:spacing w:before="0" w:after="0" w:line="240"/>
        <w:ind w:firstLine="0"/>
        <w:jc w:val="center"/>
        <w:outlineLvl w:val="0"/>
      </w:pPr>
      <w:r>
        <w:rPr>
          <w:rFonts w:ascii="黑体" w:eastAsia="黑体" w:hAnsi="黑体" w:cs="黑体"/>
          <w:b/>
          <w:color w:val="000000"/>
          <w:sz w:val="44"/>
        </w:rPr>
        <w:t xml:space="preserve">2025年单位预算信息公开目录</w:t>
      </w:r>
    </w:p>
    <w:p>
      <w:pPr>
        <w:spacing w:before="0" w:after="0" w:line="240"/>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hyperlink w:anchor="_Toc_4_4_0000000001" w:history="1">
        <w:r>
          <w:rPr>
            <w:b w:val="0"/>
          </w:rPr>
          <w:t xml:space="preserve">一、深泽县民兵训练基地本级收支预算</w:t>
        </w:r>
        <w:r>
          <w:tab/>
        </w:r>
        <w:r>
          <w:fldChar w:fldCharType="begin"/>
        </w:r>
        <w:r>
          <w:instrText xml:space="preserve">PAGEREF _Toc_4_4_0000000001 \h</w:instrText>
        </w:r>
        <w:r>
          <w:fldChar w:fldCharType="separate"/>
        </w:r>
        <w:r>
          <w:t xml:space="preserve">1</w:t>
        </w:r>
        <w:r>
          <w:fldChar w:fldCharType="end"/>
        </w:r>
      </w:hyperlink>
    </w:p>
    <w:p>
      <w:pPr>
        <w:sectPr>
          <w:type w:val="nextPage"/>
          <w:pgSz w:w="16840" w:h="11900" w:orient="landscape"/>
          <w:pgMar w:top="1587" w:right="1134" w:bottom="1361" w:left="1134" w:header="720" w:footer="720" w:gutter="0"/>
          <w:pgBorders/>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一、深泽县民兵训练基地本级收支预算</w:t>
      </w:r>
      <w:bookmarkEnd w:id="0"/>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4535"/>
        <w:gridCol w:w="2126"/>
        <w:gridCol w:w="4535"/>
        <w:gridCol w:w="2126"/>
      </w:tblGrid>
      <w:tr>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302001深泽县民兵训练基地本级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rPr>
          <w:trHeight w:val="369"/>
          <w:tblHeader/>
          <w:jc w:val="center"/>
        </w:trPr>
        <w:tc>
          <w:tcPr>
            <w:tcW w:w="850" w:type="dxa"/>
            <w:vMerge/>
          </w:tcPr>
          <w:p>
            <w:p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146.60</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71.12</w:t>
            </w:r>
          </w:p>
        </w:tc>
      </w:tr>
      <w:tr>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r>
              <w:t xml:space="preserve">58.00</w:t>
            </w:r>
          </w:p>
        </w:tc>
      </w:tr>
      <w:tr>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7.86</w:t>
            </w:r>
          </w:p>
        </w:tc>
      </w:tr>
      <w:tr>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3.75</w:t>
            </w:r>
          </w:p>
        </w:tc>
      </w:tr>
      <w:tr>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5.87</w:t>
            </w:r>
          </w:p>
        </w:tc>
      </w:tr>
      <w:tr>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三十一、人行科目</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146.60</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146.60</w:t>
            </w:r>
          </w:p>
        </w:tc>
      </w:tr>
      <w:tr>
        <w:trPr>
          <w:trHeight w:val="369"/>
          <w:jc w:val="center"/>
        </w:trPr>
        <w:tc>
          <w:tcPr>
            <w:tcW w:w="850" w:type="dxa"/>
            <w:vAlign w:val="center"/>
          </w:tcPr>
          <w:p>
            <w:pPr>
              <w:pStyle w:val="单元格样式3"/>
            </w:pPr>
            <w:r>
              <w:t xml:space="preserve">33</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4535" w:type="dxa"/>
            <w:vAlign w:val="center"/>
          </w:tcPr>
          <w:p>
            <w:pPr>
              <w:pStyle w:val="单元格样式6"/>
            </w:pPr>
            <w:r>
              <w:t xml:space="preserve">收入总计</w:t>
            </w:r>
          </w:p>
        </w:tc>
        <w:tc>
          <w:tcPr>
            <w:tcW w:w="2126" w:type="dxa"/>
            <w:vAlign w:val="center"/>
          </w:tcPr>
          <w:p>
            <w:pPr>
              <w:pStyle w:val="单元格样式7"/>
            </w:pPr>
            <w:r>
              <w:t xml:space="preserve">146.60</w:t>
            </w:r>
          </w:p>
        </w:tc>
        <w:tc>
          <w:tcPr>
            <w:tcW w:w="4535" w:type="dxa"/>
            <w:vAlign w:val="center"/>
          </w:tcPr>
          <w:p>
            <w:pPr>
              <w:pStyle w:val="单元格样式6"/>
            </w:pPr>
            <w:r>
              <w:t xml:space="preserve">支出总计</w:t>
            </w:r>
          </w:p>
        </w:tc>
        <w:tc>
          <w:tcPr>
            <w:tcW w:w="2126" w:type="dxa"/>
            <w:vAlign w:val="center"/>
          </w:tcPr>
          <w:p>
            <w:pPr>
              <w:pStyle w:val="单元格样式7"/>
            </w:pPr>
            <w:r>
              <w:t xml:space="preserve">146.60</w:t>
            </w:r>
          </w:p>
        </w:tc>
      </w:tr>
    </w:tbl>
    <w:p>
      <w:pPr>
        <w:sectPr>
          <w:footerReference w:type="even" r:id="rId1"/>
          <w:footerReference w:type="default" r:id="rId2"/>
          <w:type w:val="nextPage"/>
          <w:pgSz w:w="16840" w:h="11900" w:orient="landscape"/>
          <w:pgMar w:top="1361" w:right="1020" w:bottom="1134" w:left="1020" w:header="720" w:footer="720" w:gutter="0"/>
          <w:pgBorders/>
          <w:pgNumType w:start="1"/>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302001深泽县民兵训练基地本级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rPr>
          <w:trHeight w:val="369"/>
          <w:tblHeader/>
          <w:jc w:val="center"/>
        </w:trPr>
        <w:tc>
          <w:tcPr>
            <w:tcW w:w="680" w:type="dxa"/>
            <w:vMerge/>
          </w:tcPr>
          <w:p>
            <w:p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p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pPr/>
          </w:p>
        </w:tc>
      </w:tr>
      <w:tr>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146.60</w:t>
            </w:r>
          </w:p>
        </w:tc>
        <w:tc>
          <w:tcPr>
            <w:tcW w:w="1134" w:type="dxa"/>
            <w:vAlign w:val="center"/>
          </w:tcPr>
          <w:p>
            <w:pPr>
              <w:pStyle w:val="单元格样式7"/>
            </w:pPr>
            <w:r>
              <w:t xml:space="preserve">146.60</w:t>
            </w:r>
          </w:p>
        </w:tc>
        <w:tc>
          <w:tcPr>
            <w:tcW w:w="1134" w:type="dxa"/>
            <w:vAlign w:val="center"/>
          </w:tcPr>
          <w:p>
            <w:pPr>
              <w:pStyle w:val="单元格样式7"/>
            </w:pPr>
            <w:r>
              <w:t xml:space="preserve">146.60</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71.12</w:t>
            </w:r>
          </w:p>
        </w:tc>
        <w:tc>
          <w:tcPr>
            <w:tcW w:w="1134" w:type="dxa"/>
            <w:vAlign w:val="center"/>
          </w:tcPr>
          <w:p>
            <w:pPr>
              <w:pStyle w:val="单元格样式4"/>
            </w:pPr>
            <w:r>
              <w:t xml:space="preserve">71.12</w:t>
            </w:r>
          </w:p>
        </w:tc>
        <w:tc>
          <w:tcPr>
            <w:tcW w:w="1134" w:type="dxa"/>
            <w:vAlign w:val="center"/>
          </w:tcPr>
          <w:p>
            <w:pPr>
              <w:pStyle w:val="单元格样式4"/>
            </w:pPr>
            <w:r>
              <w:t xml:space="preserve">71.12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20103</w:t>
            </w:r>
          </w:p>
        </w:tc>
        <w:tc>
          <w:tcPr>
            <w:tcW w:w="1559" w:type="dxa"/>
            <w:vAlign w:val="center"/>
          </w:tcPr>
          <w:p>
            <w:pPr>
              <w:pStyle w:val="单元格样式2"/>
            </w:pPr>
            <w:r>
              <w:t xml:space="preserve">政府办公厅（室）及相关机构事务</w:t>
            </w:r>
          </w:p>
        </w:tc>
        <w:tc>
          <w:tcPr>
            <w:tcW w:w="1134" w:type="dxa"/>
            <w:vAlign w:val="center"/>
          </w:tcPr>
          <w:p>
            <w:pPr>
              <w:pStyle w:val="单元格样式4"/>
            </w:pPr>
            <w:r>
              <w:t xml:space="preserve">71.12</w:t>
            </w:r>
          </w:p>
        </w:tc>
        <w:tc>
          <w:tcPr>
            <w:tcW w:w="1134" w:type="dxa"/>
            <w:vAlign w:val="center"/>
          </w:tcPr>
          <w:p>
            <w:pPr>
              <w:pStyle w:val="单元格样式4"/>
            </w:pPr>
            <w:r>
              <w:t xml:space="preserve">71.12</w:t>
            </w:r>
          </w:p>
        </w:tc>
        <w:tc>
          <w:tcPr>
            <w:tcW w:w="1134" w:type="dxa"/>
            <w:vAlign w:val="center"/>
          </w:tcPr>
          <w:p>
            <w:pPr>
              <w:pStyle w:val="单元格样式4"/>
            </w:pPr>
            <w:r>
              <w:t xml:space="preserve">71.12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2010301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71.12</w:t>
            </w:r>
          </w:p>
        </w:tc>
        <w:tc>
          <w:tcPr>
            <w:tcW w:w="1134" w:type="dxa"/>
            <w:vAlign w:val="center"/>
          </w:tcPr>
          <w:p>
            <w:pPr>
              <w:pStyle w:val="单元格样式4"/>
            </w:pPr>
            <w:r>
              <w:t xml:space="preserve">71.12</w:t>
            </w:r>
          </w:p>
        </w:tc>
        <w:tc>
          <w:tcPr>
            <w:tcW w:w="1134" w:type="dxa"/>
            <w:vAlign w:val="center"/>
          </w:tcPr>
          <w:p>
            <w:pPr>
              <w:pStyle w:val="单元格样式4"/>
            </w:pPr>
            <w:r>
              <w:t xml:space="preserve">71.12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203</w:t>
            </w:r>
          </w:p>
        </w:tc>
        <w:tc>
          <w:tcPr>
            <w:tcW w:w="1559" w:type="dxa"/>
            <w:vAlign w:val="center"/>
          </w:tcPr>
          <w:p>
            <w:pPr>
              <w:pStyle w:val="单元格样式2"/>
            </w:pPr>
            <w:r>
              <w:t xml:space="preserve">国防支出</w:t>
            </w:r>
          </w:p>
        </w:tc>
        <w:tc>
          <w:tcPr>
            <w:tcW w:w="1134" w:type="dxa"/>
            <w:vAlign w:val="center"/>
          </w:tcPr>
          <w:p>
            <w:pPr>
              <w:pStyle w:val="单元格样式4"/>
            </w:pPr>
            <w:r>
              <w:t xml:space="preserve">58.00</w:t>
            </w:r>
          </w:p>
        </w:tc>
        <w:tc>
          <w:tcPr>
            <w:tcW w:w="1134" w:type="dxa"/>
            <w:vAlign w:val="center"/>
          </w:tcPr>
          <w:p>
            <w:pPr>
              <w:pStyle w:val="单元格样式4"/>
            </w:pPr>
            <w:r>
              <w:t xml:space="preserve">58.00</w:t>
            </w:r>
          </w:p>
        </w:tc>
        <w:tc>
          <w:tcPr>
            <w:tcW w:w="1134" w:type="dxa"/>
            <w:vAlign w:val="center"/>
          </w:tcPr>
          <w:p>
            <w:pPr>
              <w:pStyle w:val="单元格样式4"/>
            </w:pPr>
            <w:r>
              <w:t xml:space="preserve">58.00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20306</w:t>
            </w:r>
          </w:p>
        </w:tc>
        <w:tc>
          <w:tcPr>
            <w:tcW w:w="1559" w:type="dxa"/>
            <w:vAlign w:val="center"/>
          </w:tcPr>
          <w:p>
            <w:pPr>
              <w:pStyle w:val="单元格样式2"/>
            </w:pPr>
            <w:r>
              <w:t xml:space="preserve">国防动员</w:t>
            </w:r>
          </w:p>
        </w:tc>
        <w:tc>
          <w:tcPr>
            <w:tcW w:w="1134" w:type="dxa"/>
            <w:vAlign w:val="center"/>
          </w:tcPr>
          <w:p>
            <w:pPr>
              <w:pStyle w:val="单元格样式4"/>
            </w:pPr>
            <w:r>
              <w:t xml:space="preserve">58.00</w:t>
            </w:r>
          </w:p>
        </w:tc>
        <w:tc>
          <w:tcPr>
            <w:tcW w:w="1134" w:type="dxa"/>
            <w:vAlign w:val="center"/>
          </w:tcPr>
          <w:p>
            <w:pPr>
              <w:pStyle w:val="单元格样式4"/>
            </w:pPr>
            <w:r>
              <w:t xml:space="preserve">58.00</w:t>
            </w:r>
          </w:p>
        </w:tc>
        <w:tc>
          <w:tcPr>
            <w:tcW w:w="1134" w:type="dxa"/>
            <w:vAlign w:val="center"/>
          </w:tcPr>
          <w:p>
            <w:pPr>
              <w:pStyle w:val="单元格样式4"/>
            </w:pPr>
            <w:r>
              <w:t xml:space="preserve">58.00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2030607</w:t>
            </w:r>
          </w:p>
        </w:tc>
        <w:tc>
          <w:tcPr>
            <w:tcW w:w="1559" w:type="dxa"/>
            <w:vAlign w:val="center"/>
          </w:tcPr>
          <w:p>
            <w:pPr>
              <w:pStyle w:val="单元格样式2"/>
            </w:pPr>
            <w:r>
              <w:t xml:space="preserve">民兵</w:t>
            </w:r>
          </w:p>
        </w:tc>
        <w:tc>
          <w:tcPr>
            <w:tcW w:w="1134" w:type="dxa"/>
            <w:vAlign w:val="center"/>
          </w:tcPr>
          <w:p>
            <w:pPr>
              <w:pStyle w:val="单元格样式4"/>
            </w:pPr>
            <w:r>
              <w:t xml:space="preserve">58.00</w:t>
            </w:r>
          </w:p>
        </w:tc>
        <w:tc>
          <w:tcPr>
            <w:tcW w:w="1134" w:type="dxa"/>
            <w:vAlign w:val="center"/>
          </w:tcPr>
          <w:p>
            <w:pPr>
              <w:pStyle w:val="单元格样式4"/>
            </w:pPr>
            <w:r>
              <w:t xml:space="preserve">58.00</w:t>
            </w:r>
          </w:p>
        </w:tc>
        <w:tc>
          <w:tcPr>
            <w:tcW w:w="1134" w:type="dxa"/>
            <w:vAlign w:val="center"/>
          </w:tcPr>
          <w:p>
            <w:pPr>
              <w:pStyle w:val="单元格样式4"/>
            </w:pPr>
            <w:r>
              <w:t xml:space="preserve">58.00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7.86</w:t>
            </w:r>
          </w:p>
        </w:tc>
        <w:tc>
          <w:tcPr>
            <w:tcW w:w="1134" w:type="dxa"/>
            <w:vAlign w:val="center"/>
          </w:tcPr>
          <w:p>
            <w:pPr>
              <w:pStyle w:val="单元格样式4"/>
            </w:pPr>
            <w:r>
              <w:t xml:space="preserve">7.86</w:t>
            </w:r>
          </w:p>
        </w:tc>
        <w:tc>
          <w:tcPr>
            <w:tcW w:w="1134" w:type="dxa"/>
            <w:vAlign w:val="center"/>
          </w:tcPr>
          <w:p>
            <w:pPr>
              <w:pStyle w:val="单元格样式4"/>
            </w:pPr>
            <w:r>
              <w:t xml:space="preserve">7.86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7.30</w:t>
            </w:r>
          </w:p>
        </w:tc>
        <w:tc>
          <w:tcPr>
            <w:tcW w:w="1134" w:type="dxa"/>
            <w:vAlign w:val="center"/>
          </w:tcPr>
          <w:p>
            <w:pPr>
              <w:pStyle w:val="单元格样式4"/>
            </w:pPr>
            <w:r>
              <w:t xml:space="preserve">7.30</w:t>
            </w:r>
          </w:p>
        </w:tc>
        <w:tc>
          <w:tcPr>
            <w:tcW w:w="1134" w:type="dxa"/>
            <w:vAlign w:val="center"/>
          </w:tcPr>
          <w:p>
            <w:pPr>
              <w:pStyle w:val="单元格样式4"/>
            </w:pPr>
            <w:r>
              <w:t xml:space="preserve">7.30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7.30</w:t>
            </w:r>
          </w:p>
        </w:tc>
        <w:tc>
          <w:tcPr>
            <w:tcW w:w="1134" w:type="dxa"/>
            <w:vAlign w:val="center"/>
          </w:tcPr>
          <w:p>
            <w:pPr>
              <w:pStyle w:val="单元格样式4"/>
            </w:pPr>
            <w:r>
              <w:t xml:space="preserve">7.30</w:t>
            </w:r>
          </w:p>
        </w:tc>
        <w:tc>
          <w:tcPr>
            <w:tcW w:w="1134" w:type="dxa"/>
            <w:vAlign w:val="center"/>
          </w:tcPr>
          <w:p>
            <w:pPr>
              <w:pStyle w:val="单元格样式4"/>
            </w:pPr>
            <w:r>
              <w:t xml:space="preserve">7.30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20827</w:t>
            </w:r>
          </w:p>
        </w:tc>
        <w:tc>
          <w:tcPr>
            <w:tcW w:w="1559" w:type="dxa"/>
            <w:vAlign w:val="center"/>
          </w:tcPr>
          <w:p>
            <w:pPr>
              <w:pStyle w:val="单元格样式2"/>
            </w:pPr>
            <w:r>
              <w:t xml:space="preserve">财政对其他社会保险基金的补助</w:t>
            </w:r>
          </w:p>
        </w:tc>
        <w:tc>
          <w:tcPr>
            <w:tcW w:w="1134" w:type="dxa"/>
            <w:vAlign w:val="center"/>
          </w:tcPr>
          <w:p>
            <w:pPr>
              <w:pStyle w:val="单元格样式4"/>
            </w:pPr>
            <w:r>
              <w:t xml:space="preserve">0.56</w:t>
            </w:r>
          </w:p>
        </w:tc>
        <w:tc>
          <w:tcPr>
            <w:tcW w:w="1134" w:type="dxa"/>
            <w:vAlign w:val="center"/>
          </w:tcPr>
          <w:p>
            <w:pPr>
              <w:pStyle w:val="单元格样式4"/>
            </w:pPr>
            <w:r>
              <w:t xml:space="preserve">0.56</w:t>
            </w:r>
          </w:p>
        </w:tc>
        <w:tc>
          <w:tcPr>
            <w:tcW w:w="1134" w:type="dxa"/>
            <w:vAlign w:val="center"/>
          </w:tcPr>
          <w:p>
            <w:pPr>
              <w:pStyle w:val="单元格样式4"/>
            </w:pPr>
            <w:r>
              <w:t xml:space="preserve">0.56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2082701</w:t>
            </w:r>
          </w:p>
        </w:tc>
        <w:tc>
          <w:tcPr>
            <w:tcW w:w="1559" w:type="dxa"/>
            <w:vAlign w:val="center"/>
          </w:tcPr>
          <w:p>
            <w:pPr>
              <w:pStyle w:val="单元格样式2"/>
            </w:pPr>
            <w:r>
              <w:t xml:space="preserve">财政对失业保险基金的补助</w:t>
            </w:r>
          </w:p>
        </w:tc>
        <w:tc>
          <w:tcPr>
            <w:tcW w:w="1134" w:type="dxa"/>
            <w:vAlign w:val="center"/>
          </w:tcPr>
          <w:p>
            <w:pPr>
              <w:pStyle w:val="单元格样式4"/>
            </w:pPr>
            <w:r>
              <w:t xml:space="preserve">0.33</w:t>
            </w:r>
          </w:p>
        </w:tc>
        <w:tc>
          <w:tcPr>
            <w:tcW w:w="1134" w:type="dxa"/>
            <w:vAlign w:val="center"/>
          </w:tcPr>
          <w:p>
            <w:pPr>
              <w:pStyle w:val="单元格样式4"/>
            </w:pPr>
            <w:r>
              <w:t xml:space="preserve">0.33</w:t>
            </w:r>
          </w:p>
        </w:tc>
        <w:tc>
          <w:tcPr>
            <w:tcW w:w="1134" w:type="dxa"/>
            <w:vAlign w:val="center"/>
          </w:tcPr>
          <w:p>
            <w:pPr>
              <w:pStyle w:val="单元格样式4"/>
            </w:pPr>
            <w:r>
              <w:t xml:space="preserve">0.33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2082702</w:t>
            </w:r>
          </w:p>
        </w:tc>
        <w:tc>
          <w:tcPr>
            <w:tcW w:w="1559" w:type="dxa"/>
            <w:vAlign w:val="center"/>
          </w:tcPr>
          <w:p>
            <w:pPr>
              <w:pStyle w:val="单元格样式2"/>
            </w:pPr>
            <w:r>
              <w:t xml:space="preserve">财政对工伤保险基金的补助</w:t>
            </w:r>
          </w:p>
        </w:tc>
        <w:tc>
          <w:tcPr>
            <w:tcW w:w="1134" w:type="dxa"/>
            <w:vAlign w:val="center"/>
          </w:tcPr>
          <w:p>
            <w:pPr>
              <w:pStyle w:val="单元格样式4"/>
            </w:pPr>
            <w:r>
              <w:t xml:space="preserve">0.23</w:t>
            </w:r>
          </w:p>
        </w:tc>
        <w:tc>
          <w:tcPr>
            <w:tcW w:w="1134" w:type="dxa"/>
            <w:vAlign w:val="center"/>
          </w:tcPr>
          <w:p>
            <w:pPr>
              <w:pStyle w:val="单元格样式4"/>
            </w:pPr>
            <w:r>
              <w:t xml:space="preserve">0.23</w:t>
            </w:r>
          </w:p>
        </w:tc>
        <w:tc>
          <w:tcPr>
            <w:tcW w:w="1134" w:type="dxa"/>
            <w:vAlign w:val="center"/>
          </w:tcPr>
          <w:p>
            <w:pPr>
              <w:pStyle w:val="单元格样式4"/>
            </w:pPr>
            <w:r>
              <w:t xml:space="preserve">0.23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3.75</w:t>
            </w:r>
          </w:p>
        </w:tc>
        <w:tc>
          <w:tcPr>
            <w:tcW w:w="1134" w:type="dxa"/>
            <w:vAlign w:val="center"/>
          </w:tcPr>
          <w:p>
            <w:pPr>
              <w:pStyle w:val="单元格样式4"/>
            </w:pPr>
            <w:r>
              <w:t xml:space="preserve">3.75</w:t>
            </w:r>
          </w:p>
        </w:tc>
        <w:tc>
          <w:tcPr>
            <w:tcW w:w="1134" w:type="dxa"/>
            <w:vAlign w:val="center"/>
          </w:tcPr>
          <w:p>
            <w:pPr>
              <w:pStyle w:val="单元格样式4"/>
            </w:pPr>
            <w:r>
              <w:t xml:space="preserve">3.75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3.75</w:t>
            </w:r>
          </w:p>
        </w:tc>
        <w:tc>
          <w:tcPr>
            <w:tcW w:w="1134" w:type="dxa"/>
            <w:vAlign w:val="center"/>
          </w:tcPr>
          <w:p>
            <w:pPr>
              <w:pStyle w:val="单元格样式4"/>
            </w:pPr>
            <w:r>
              <w:t xml:space="preserve">3.75</w:t>
            </w:r>
          </w:p>
        </w:tc>
        <w:tc>
          <w:tcPr>
            <w:tcW w:w="1134" w:type="dxa"/>
            <w:vAlign w:val="center"/>
          </w:tcPr>
          <w:p>
            <w:pPr>
              <w:pStyle w:val="单元格样式4"/>
            </w:pPr>
            <w:r>
              <w:t xml:space="preserve">3.75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2101102</w:t>
            </w:r>
          </w:p>
        </w:tc>
        <w:tc>
          <w:tcPr>
            <w:tcW w:w="1559" w:type="dxa"/>
            <w:vAlign w:val="center"/>
          </w:tcPr>
          <w:p>
            <w:pPr>
              <w:pStyle w:val="单元格样式2"/>
            </w:pPr>
            <w:r>
              <w:t xml:space="preserve">事业单位医疗</w:t>
            </w:r>
          </w:p>
        </w:tc>
        <w:tc>
          <w:tcPr>
            <w:tcW w:w="1134" w:type="dxa"/>
            <w:vAlign w:val="center"/>
          </w:tcPr>
          <w:p>
            <w:pPr>
              <w:pStyle w:val="单元格样式4"/>
            </w:pPr>
            <w:r>
              <w:t xml:space="preserve">3.75</w:t>
            </w:r>
          </w:p>
        </w:tc>
        <w:tc>
          <w:tcPr>
            <w:tcW w:w="1134" w:type="dxa"/>
            <w:vAlign w:val="center"/>
          </w:tcPr>
          <w:p>
            <w:pPr>
              <w:pStyle w:val="单元格样式4"/>
            </w:pPr>
            <w:r>
              <w:t xml:space="preserve">3.75</w:t>
            </w:r>
          </w:p>
        </w:tc>
        <w:tc>
          <w:tcPr>
            <w:tcW w:w="1134" w:type="dxa"/>
            <w:vAlign w:val="center"/>
          </w:tcPr>
          <w:p>
            <w:pPr>
              <w:pStyle w:val="单元格样式4"/>
            </w:pPr>
            <w:r>
              <w:t xml:space="preserve">3.75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5.87</w:t>
            </w:r>
          </w:p>
        </w:tc>
        <w:tc>
          <w:tcPr>
            <w:tcW w:w="1134" w:type="dxa"/>
            <w:vAlign w:val="center"/>
          </w:tcPr>
          <w:p>
            <w:pPr>
              <w:pStyle w:val="单元格样式4"/>
            </w:pPr>
            <w:r>
              <w:t xml:space="preserve">5.87</w:t>
            </w:r>
          </w:p>
        </w:tc>
        <w:tc>
          <w:tcPr>
            <w:tcW w:w="1134" w:type="dxa"/>
            <w:vAlign w:val="center"/>
          </w:tcPr>
          <w:p>
            <w:pPr>
              <w:pStyle w:val="单元格样式4"/>
            </w:pPr>
            <w:r>
              <w:t xml:space="preserve">5.87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5.87</w:t>
            </w:r>
          </w:p>
        </w:tc>
        <w:tc>
          <w:tcPr>
            <w:tcW w:w="1134" w:type="dxa"/>
            <w:vAlign w:val="center"/>
          </w:tcPr>
          <w:p>
            <w:pPr>
              <w:pStyle w:val="单元格样式4"/>
            </w:pPr>
            <w:r>
              <w:t xml:space="preserve">5.87</w:t>
            </w:r>
          </w:p>
        </w:tc>
        <w:tc>
          <w:tcPr>
            <w:tcW w:w="1134" w:type="dxa"/>
            <w:vAlign w:val="center"/>
          </w:tcPr>
          <w:p>
            <w:pPr>
              <w:pStyle w:val="单元格样式4"/>
            </w:pPr>
            <w:r>
              <w:t xml:space="preserve">5.87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5.87</w:t>
            </w:r>
          </w:p>
        </w:tc>
        <w:tc>
          <w:tcPr>
            <w:tcW w:w="1134" w:type="dxa"/>
            <w:vAlign w:val="center"/>
          </w:tcPr>
          <w:p>
            <w:pPr>
              <w:pStyle w:val="单元格样式4"/>
            </w:pPr>
            <w:r>
              <w:t xml:space="preserve">5.87</w:t>
            </w:r>
          </w:p>
        </w:tc>
        <w:tc>
          <w:tcPr>
            <w:tcW w:w="1134" w:type="dxa"/>
            <w:vAlign w:val="center"/>
          </w:tcPr>
          <w:p>
            <w:pPr>
              <w:pStyle w:val="单元格样式4"/>
            </w:pPr>
            <w:r>
              <w:t xml:space="preserve">5.87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992"/>
        <w:gridCol w:w="4535"/>
        <w:gridCol w:w="1361"/>
        <w:gridCol w:w="1361"/>
        <w:gridCol w:w="1361"/>
        <w:gridCol w:w="1361"/>
        <w:gridCol w:w="1361"/>
        <w:gridCol w:w="1361"/>
      </w:tblGrid>
      <w:tr>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302001深泽县民兵训练基地本级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rPr>
          <w:trHeight w:val="369"/>
          <w:tblHeader/>
          <w:jc w:val="center"/>
        </w:trPr>
        <w:tc>
          <w:tcPr>
            <w:tcW w:w="850" w:type="dxa"/>
            <w:vMerge/>
          </w:tcPr>
          <w:p>
            <w:p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r>
      <w:tr>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146.60</w:t>
            </w:r>
          </w:p>
        </w:tc>
        <w:tc>
          <w:tcPr>
            <w:tcW w:w="1361" w:type="dxa"/>
            <w:vAlign w:val="center"/>
          </w:tcPr>
          <w:p>
            <w:pPr>
              <w:pStyle w:val="单元格样式7"/>
            </w:pPr>
            <w:r>
              <w:t xml:space="preserve">88.60</w:t>
            </w:r>
          </w:p>
        </w:tc>
        <w:tc>
          <w:tcPr>
            <w:tcW w:w="1361" w:type="dxa"/>
            <w:vAlign w:val="center"/>
          </w:tcPr>
          <w:p>
            <w:pPr>
              <w:pStyle w:val="单元格样式7"/>
            </w:pPr>
            <w:r>
              <w:t xml:space="preserve">58.00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71.12</w:t>
            </w:r>
          </w:p>
        </w:tc>
        <w:tc>
          <w:tcPr>
            <w:tcW w:w="1361" w:type="dxa"/>
            <w:vAlign w:val="center"/>
          </w:tcPr>
          <w:p>
            <w:pPr>
              <w:pStyle w:val="单元格样式4"/>
            </w:pPr>
            <w:r>
              <w:t xml:space="preserve">71.12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1361" w:type="dxa"/>
            <w:vAlign w:val="center"/>
          </w:tcPr>
          <w:p>
            <w:pPr>
              <w:pStyle w:val="单元格样式4"/>
            </w:pPr>
            <w:r>
              <w:t xml:space="preserve">71.12</w:t>
            </w:r>
          </w:p>
        </w:tc>
        <w:tc>
          <w:tcPr>
            <w:tcW w:w="1361" w:type="dxa"/>
            <w:vAlign w:val="center"/>
          </w:tcPr>
          <w:p>
            <w:pPr>
              <w:pStyle w:val="单元格样式4"/>
            </w:pPr>
            <w:r>
              <w:t xml:space="preserve">71.12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71.12</w:t>
            </w:r>
          </w:p>
        </w:tc>
        <w:tc>
          <w:tcPr>
            <w:tcW w:w="1361" w:type="dxa"/>
            <w:vAlign w:val="center"/>
          </w:tcPr>
          <w:p>
            <w:pPr>
              <w:pStyle w:val="单元格样式4"/>
            </w:pPr>
            <w:r>
              <w:t xml:space="preserve">71.12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203</w:t>
            </w:r>
          </w:p>
        </w:tc>
        <w:tc>
          <w:tcPr>
            <w:tcW w:w="4535" w:type="dxa"/>
            <w:vAlign w:val="center"/>
          </w:tcPr>
          <w:p>
            <w:pPr>
              <w:pStyle w:val="单元格样式2"/>
            </w:pPr>
            <w:r>
              <w:t xml:space="preserve">国防支出</w:t>
            </w:r>
          </w:p>
        </w:tc>
        <w:tc>
          <w:tcPr>
            <w:tcW w:w="1361" w:type="dxa"/>
            <w:vAlign w:val="center"/>
          </w:tcPr>
          <w:p>
            <w:pPr>
              <w:pStyle w:val="单元格样式4"/>
            </w:pPr>
            <w:r>
              <w:t xml:space="preserve">58.00</w:t>
            </w:r>
          </w:p>
        </w:tc>
        <w:tc>
          <w:tcPr>
            <w:tcW w:w="1361" w:type="dxa"/>
            <w:vAlign w:val="center"/>
          </w:tcPr>
          <w:p>
            <w:pPr>
              <w:pStyle w:val="单元格样式4"/>
            </w:pPr>
          </w:p>
        </w:tc>
        <w:tc>
          <w:tcPr>
            <w:tcW w:w="1361" w:type="dxa"/>
            <w:vAlign w:val="center"/>
          </w:tcPr>
          <w:p>
            <w:pPr>
              <w:pStyle w:val="单元格样式4"/>
            </w:pPr>
            <w:r>
              <w:t xml:space="preserve">58.00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20306</w:t>
            </w:r>
          </w:p>
        </w:tc>
        <w:tc>
          <w:tcPr>
            <w:tcW w:w="4535" w:type="dxa"/>
            <w:vAlign w:val="center"/>
          </w:tcPr>
          <w:p>
            <w:pPr>
              <w:pStyle w:val="单元格样式2"/>
            </w:pPr>
            <w:r>
              <w:t xml:space="preserve">国防动员</w:t>
            </w:r>
          </w:p>
        </w:tc>
        <w:tc>
          <w:tcPr>
            <w:tcW w:w="1361" w:type="dxa"/>
            <w:vAlign w:val="center"/>
          </w:tcPr>
          <w:p>
            <w:pPr>
              <w:pStyle w:val="单元格样式4"/>
            </w:pPr>
            <w:r>
              <w:t xml:space="preserve">58.00</w:t>
            </w:r>
          </w:p>
        </w:tc>
        <w:tc>
          <w:tcPr>
            <w:tcW w:w="1361" w:type="dxa"/>
            <w:vAlign w:val="center"/>
          </w:tcPr>
          <w:p>
            <w:pPr>
              <w:pStyle w:val="单元格样式4"/>
            </w:pPr>
          </w:p>
        </w:tc>
        <w:tc>
          <w:tcPr>
            <w:tcW w:w="1361" w:type="dxa"/>
            <w:vAlign w:val="center"/>
          </w:tcPr>
          <w:p>
            <w:pPr>
              <w:pStyle w:val="单元格样式4"/>
            </w:pPr>
            <w:r>
              <w:t xml:space="preserve">58.00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2030607</w:t>
            </w:r>
          </w:p>
        </w:tc>
        <w:tc>
          <w:tcPr>
            <w:tcW w:w="4535" w:type="dxa"/>
            <w:vAlign w:val="center"/>
          </w:tcPr>
          <w:p>
            <w:pPr>
              <w:pStyle w:val="单元格样式2"/>
            </w:pPr>
            <w:r>
              <w:t xml:space="preserve">民兵</w:t>
            </w:r>
          </w:p>
        </w:tc>
        <w:tc>
          <w:tcPr>
            <w:tcW w:w="1361" w:type="dxa"/>
            <w:vAlign w:val="center"/>
          </w:tcPr>
          <w:p>
            <w:pPr>
              <w:pStyle w:val="单元格样式4"/>
            </w:pPr>
            <w:r>
              <w:t xml:space="preserve">58.00</w:t>
            </w:r>
          </w:p>
        </w:tc>
        <w:tc>
          <w:tcPr>
            <w:tcW w:w="1361" w:type="dxa"/>
            <w:vAlign w:val="center"/>
          </w:tcPr>
          <w:p>
            <w:pPr>
              <w:pStyle w:val="单元格样式4"/>
            </w:pPr>
          </w:p>
        </w:tc>
        <w:tc>
          <w:tcPr>
            <w:tcW w:w="1361" w:type="dxa"/>
            <w:vAlign w:val="center"/>
          </w:tcPr>
          <w:p>
            <w:pPr>
              <w:pStyle w:val="单元格样式4"/>
            </w:pPr>
            <w:r>
              <w:t xml:space="preserve">58.00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7.86</w:t>
            </w:r>
          </w:p>
        </w:tc>
        <w:tc>
          <w:tcPr>
            <w:tcW w:w="1361" w:type="dxa"/>
            <w:vAlign w:val="center"/>
          </w:tcPr>
          <w:p>
            <w:pPr>
              <w:pStyle w:val="单元格样式4"/>
            </w:pPr>
            <w:r>
              <w:t xml:space="preserve">7.86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7.30</w:t>
            </w:r>
          </w:p>
        </w:tc>
        <w:tc>
          <w:tcPr>
            <w:tcW w:w="1361" w:type="dxa"/>
            <w:vAlign w:val="center"/>
          </w:tcPr>
          <w:p>
            <w:pPr>
              <w:pStyle w:val="单元格样式4"/>
            </w:pPr>
            <w:r>
              <w:t xml:space="preserve">7.30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7.30</w:t>
            </w:r>
          </w:p>
        </w:tc>
        <w:tc>
          <w:tcPr>
            <w:tcW w:w="1361" w:type="dxa"/>
            <w:vAlign w:val="center"/>
          </w:tcPr>
          <w:p>
            <w:pPr>
              <w:pStyle w:val="单元格样式4"/>
            </w:pPr>
            <w:r>
              <w:t xml:space="preserve">7.30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20827</w:t>
            </w:r>
          </w:p>
        </w:tc>
        <w:tc>
          <w:tcPr>
            <w:tcW w:w="4535" w:type="dxa"/>
            <w:vAlign w:val="center"/>
          </w:tcPr>
          <w:p>
            <w:pPr>
              <w:pStyle w:val="单元格样式2"/>
            </w:pPr>
            <w:r>
              <w:t xml:space="preserve">财政对其他社会保险基金的补助</w:t>
            </w:r>
          </w:p>
        </w:tc>
        <w:tc>
          <w:tcPr>
            <w:tcW w:w="1361" w:type="dxa"/>
            <w:vAlign w:val="center"/>
          </w:tcPr>
          <w:p>
            <w:pPr>
              <w:pStyle w:val="单元格样式4"/>
            </w:pPr>
            <w:r>
              <w:t xml:space="preserve">0.56</w:t>
            </w:r>
          </w:p>
        </w:tc>
        <w:tc>
          <w:tcPr>
            <w:tcW w:w="1361" w:type="dxa"/>
            <w:vAlign w:val="center"/>
          </w:tcPr>
          <w:p>
            <w:pPr>
              <w:pStyle w:val="单元格样式4"/>
            </w:pPr>
            <w:r>
              <w:t xml:space="preserve">0.56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2082701</w:t>
            </w:r>
          </w:p>
        </w:tc>
        <w:tc>
          <w:tcPr>
            <w:tcW w:w="4535" w:type="dxa"/>
            <w:vAlign w:val="center"/>
          </w:tcPr>
          <w:p>
            <w:pPr>
              <w:pStyle w:val="单元格样式2"/>
            </w:pPr>
            <w:r>
              <w:t xml:space="preserve">财政对失业保险基金的补助</w:t>
            </w:r>
          </w:p>
        </w:tc>
        <w:tc>
          <w:tcPr>
            <w:tcW w:w="1361" w:type="dxa"/>
            <w:vAlign w:val="center"/>
          </w:tcPr>
          <w:p>
            <w:pPr>
              <w:pStyle w:val="单元格样式4"/>
            </w:pPr>
            <w:r>
              <w:t xml:space="preserve">0.33</w:t>
            </w:r>
          </w:p>
        </w:tc>
        <w:tc>
          <w:tcPr>
            <w:tcW w:w="1361" w:type="dxa"/>
            <w:vAlign w:val="center"/>
          </w:tcPr>
          <w:p>
            <w:pPr>
              <w:pStyle w:val="单元格样式4"/>
            </w:pPr>
            <w:r>
              <w:t xml:space="preserve">0.33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2082702</w:t>
            </w:r>
          </w:p>
        </w:tc>
        <w:tc>
          <w:tcPr>
            <w:tcW w:w="4535" w:type="dxa"/>
            <w:vAlign w:val="center"/>
          </w:tcPr>
          <w:p>
            <w:pPr>
              <w:pStyle w:val="单元格样式2"/>
            </w:pPr>
            <w:r>
              <w:t xml:space="preserve">财政对工伤保险基金的补助</w:t>
            </w:r>
          </w:p>
        </w:tc>
        <w:tc>
          <w:tcPr>
            <w:tcW w:w="1361" w:type="dxa"/>
            <w:vAlign w:val="center"/>
          </w:tcPr>
          <w:p>
            <w:pPr>
              <w:pStyle w:val="单元格样式4"/>
            </w:pPr>
            <w:r>
              <w:t xml:space="preserve">0.23</w:t>
            </w:r>
          </w:p>
        </w:tc>
        <w:tc>
          <w:tcPr>
            <w:tcW w:w="1361" w:type="dxa"/>
            <w:vAlign w:val="center"/>
          </w:tcPr>
          <w:p>
            <w:pPr>
              <w:pStyle w:val="单元格样式4"/>
            </w:pPr>
            <w:r>
              <w:t xml:space="preserve">0.23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3.75</w:t>
            </w:r>
          </w:p>
        </w:tc>
        <w:tc>
          <w:tcPr>
            <w:tcW w:w="1361" w:type="dxa"/>
            <w:vAlign w:val="center"/>
          </w:tcPr>
          <w:p>
            <w:pPr>
              <w:pStyle w:val="单元格样式4"/>
            </w:pPr>
            <w:r>
              <w:t xml:space="preserve">3.75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3.75</w:t>
            </w:r>
          </w:p>
        </w:tc>
        <w:tc>
          <w:tcPr>
            <w:tcW w:w="1361" w:type="dxa"/>
            <w:vAlign w:val="center"/>
          </w:tcPr>
          <w:p>
            <w:pPr>
              <w:pStyle w:val="单元格样式4"/>
            </w:pPr>
            <w:r>
              <w:t xml:space="preserve">3.75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1361" w:type="dxa"/>
            <w:vAlign w:val="center"/>
          </w:tcPr>
          <w:p>
            <w:pPr>
              <w:pStyle w:val="单元格样式4"/>
            </w:pPr>
            <w:r>
              <w:t xml:space="preserve">3.75</w:t>
            </w:r>
          </w:p>
        </w:tc>
        <w:tc>
          <w:tcPr>
            <w:tcW w:w="1361" w:type="dxa"/>
            <w:vAlign w:val="center"/>
          </w:tcPr>
          <w:p>
            <w:pPr>
              <w:pStyle w:val="单元格样式4"/>
            </w:pPr>
            <w:r>
              <w:t xml:space="preserve">3.75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5.87</w:t>
            </w:r>
          </w:p>
        </w:tc>
        <w:tc>
          <w:tcPr>
            <w:tcW w:w="1361" w:type="dxa"/>
            <w:vAlign w:val="center"/>
          </w:tcPr>
          <w:p>
            <w:pPr>
              <w:pStyle w:val="单元格样式4"/>
            </w:pPr>
            <w:r>
              <w:t xml:space="preserve">5.87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5.87</w:t>
            </w:r>
          </w:p>
        </w:tc>
        <w:tc>
          <w:tcPr>
            <w:tcW w:w="1361" w:type="dxa"/>
            <w:vAlign w:val="center"/>
          </w:tcPr>
          <w:p>
            <w:pPr>
              <w:pStyle w:val="单元格样式4"/>
            </w:pPr>
            <w:r>
              <w:t xml:space="preserve">5.87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5.87</w:t>
            </w:r>
          </w:p>
        </w:tc>
        <w:tc>
          <w:tcPr>
            <w:tcW w:w="1361" w:type="dxa"/>
            <w:vAlign w:val="center"/>
          </w:tcPr>
          <w:p>
            <w:pPr>
              <w:pStyle w:val="单元格样式4"/>
            </w:pPr>
            <w:r>
              <w:t xml:space="preserve">5.87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402"/>
        <w:gridCol w:w="1474"/>
        <w:gridCol w:w="3402"/>
        <w:gridCol w:w="1474"/>
        <w:gridCol w:w="1474"/>
        <w:gridCol w:w="1474"/>
        <w:gridCol w:w="1474"/>
      </w:tblGrid>
      <w:tr>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302001深泽县民兵训练基地本级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rPr>
          <w:trHeight w:val="369"/>
          <w:tblHeader/>
          <w:jc w:val="center"/>
        </w:trPr>
        <w:tc>
          <w:tcPr>
            <w:tcW w:w="850" w:type="dxa"/>
            <w:vMerge/>
          </w:tcPr>
          <w:p>
            <w:p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146.60</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71.12</w:t>
            </w:r>
          </w:p>
        </w:tc>
        <w:tc>
          <w:tcPr>
            <w:tcW w:w="1474" w:type="dxa"/>
            <w:vAlign w:val="center"/>
          </w:tcPr>
          <w:p>
            <w:pPr>
              <w:pStyle w:val="单元格样式4"/>
            </w:pPr>
            <w:r>
              <w:t xml:space="preserve">71.12</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r>
              <w:t xml:space="preserve">58.00</w:t>
            </w:r>
          </w:p>
        </w:tc>
        <w:tc>
          <w:tcPr>
            <w:tcW w:w="1474" w:type="dxa"/>
            <w:vAlign w:val="center"/>
          </w:tcPr>
          <w:p>
            <w:pPr>
              <w:pStyle w:val="单元格样式4"/>
            </w:pPr>
            <w:r>
              <w:t xml:space="preserve">58.00</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7.86</w:t>
            </w:r>
          </w:p>
        </w:tc>
        <w:tc>
          <w:tcPr>
            <w:tcW w:w="1474" w:type="dxa"/>
            <w:vAlign w:val="center"/>
          </w:tcPr>
          <w:p>
            <w:pPr>
              <w:pStyle w:val="单元格样式4"/>
            </w:pPr>
            <w:r>
              <w:t xml:space="preserve">7.86</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3.75</w:t>
            </w:r>
          </w:p>
        </w:tc>
        <w:tc>
          <w:tcPr>
            <w:tcW w:w="1474" w:type="dxa"/>
            <w:vAlign w:val="center"/>
          </w:tcPr>
          <w:p>
            <w:pPr>
              <w:pStyle w:val="单元格样式4"/>
            </w:pPr>
            <w:r>
              <w:t xml:space="preserve">3.75</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5.87</w:t>
            </w:r>
          </w:p>
        </w:tc>
        <w:tc>
          <w:tcPr>
            <w:tcW w:w="1474" w:type="dxa"/>
            <w:vAlign w:val="center"/>
          </w:tcPr>
          <w:p>
            <w:pPr>
              <w:pStyle w:val="单元格样式4"/>
            </w:pPr>
            <w:r>
              <w:t xml:space="preserve">5.87</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146.60</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146.60</w:t>
            </w:r>
          </w:p>
        </w:tc>
        <w:tc>
          <w:tcPr>
            <w:tcW w:w="1474" w:type="dxa"/>
            <w:vAlign w:val="center"/>
          </w:tcPr>
          <w:p>
            <w:pPr>
              <w:pStyle w:val="单元格样式7"/>
            </w:pPr>
            <w:r>
              <w:t xml:space="preserve">146.60</w:t>
            </w:r>
          </w:p>
        </w:tc>
        <w:tc>
          <w:tcPr>
            <w:tcW w:w="1474" w:type="dxa"/>
            <w:vAlign w:val="center"/>
          </w:tcPr>
          <w:p>
            <w:pPr>
              <w:pStyle w:val="单元格样式7"/>
            </w:pPr>
          </w:p>
        </w:tc>
        <w:tc>
          <w:tcPr>
            <w:tcW w:w="1474" w:type="dxa"/>
            <w:vAlign w:val="center"/>
          </w:tcPr>
          <w:p>
            <w:pPr>
              <w:pStyle w:val="单元格样式7"/>
            </w:pPr>
          </w:p>
        </w:tc>
      </w:tr>
      <w:tr>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146.60</w:t>
            </w:r>
          </w:p>
        </w:tc>
        <w:tc>
          <w:tcPr>
            <w:tcW w:w="3402" w:type="dxa"/>
            <w:vAlign w:val="center"/>
          </w:tcPr>
          <w:p>
            <w:pPr>
              <w:pStyle w:val="单元格样式6"/>
            </w:pPr>
            <w:r>
              <w:t xml:space="preserve">支出总计</w:t>
            </w:r>
          </w:p>
        </w:tc>
        <w:tc>
          <w:tcPr>
            <w:tcW w:w="1474" w:type="dxa"/>
            <w:vAlign w:val="center"/>
          </w:tcPr>
          <w:p>
            <w:pPr>
              <w:pStyle w:val="单元格样式7"/>
            </w:pPr>
            <w:r>
              <w:t xml:space="preserve">146.60</w:t>
            </w:r>
          </w:p>
        </w:tc>
        <w:tc>
          <w:tcPr>
            <w:tcW w:w="1474" w:type="dxa"/>
            <w:vAlign w:val="center"/>
          </w:tcPr>
          <w:p>
            <w:pPr>
              <w:pStyle w:val="单元格样式7"/>
            </w:pPr>
            <w:r>
              <w:t xml:space="preserve">146.60</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302001深泽县民兵训练基地本级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146.60</w:t>
            </w:r>
          </w:p>
        </w:tc>
        <w:tc>
          <w:tcPr>
            <w:tcW w:w="2551" w:type="dxa"/>
            <w:vAlign w:val="center"/>
          </w:tcPr>
          <w:p>
            <w:pPr>
              <w:pStyle w:val="单元格样式7"/>
            </w:pPr>
            <w:r>
              <w:t xml:space="preserve">88.60</w:t>
            </w:r>
          </w:p>
        </w:tc>
        <w:tc>
          <w:tcPr>
            <w:tcW w:w="2551" w:type="dxa"/>
            <w:vAlign w:val="center"/>
          </w:tcPr>
          <w:p>
            <w:pPr>
              <w:pStyle w:val="单元格样式7"/>
            </w:pPr>
            <w:r>
              <w:t xml:space="preserve">58.00</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71.12</w:t>
            </w:r>
          </w:p>
        </w:tc>
        <w:tc>
          <w:tcPr>
            <w:tcW w:w="2551" w:type="dxa"/>
            <w:vAlign w:val="center"/>
          </w:tcPr>
          <w:p>
            <w:pPr>
              <w:pStyle w:val="单元格样式4"/>
            </w:pPr>
            <w:r>
              <w:t xml:space="preserve">71.12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2551" w:type="dxa"/>
            <w:vAlign w:val="center"/>
          </w:tcPr>
          <w:p>
            <w:pPr>
              <w:pStyle w:val="单元格样式4"/>
            </w:pPr>
            <w:r>
              <w:t xml:space="preserve">71.12</w:t>
            </w:r>
          </w:p>
        </w:tc>
        <w:tc>
          <w:tcPr>
            <w:tcW w:w="2551" w:type="dxa"/>
            <w:vAlign w:val="center"/>
          </w:tcPr>
          <w:p>
            <w:pPr>
              <w:pStyle w:val="单元格样式4"/>
            </w:pPr>
            <w:r>
              <w:t xml:space="preserve">71.12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71.12</w:t>
            </w:r>
          </w:p>
        </w:tc>
        <w:tc>
          <w:tcPr>
            <w:tcW w:w="2551" w:type="dxa"/>
            <w:vAlign w:val="center"/>
          </w:tcPr>
          <w:p>
            <w:pPr>
              <w:pStyle w:val="单元格样式4"/>
            </w:pPr>
            <w:r>
              <w:t xml:space="preserve">71.12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203</w:t>
            </w:r>
          </w:p>
        </w:tc>
        <w:tc>
          <w:tcPr>
            <w:tcW w:w="4535" w:type="dxa"/>
            <w:vAlign w:val="center"/>
          </w:tcPr>
          <w:p>
            <w:pPr>
              <w:pStyle w:val="单元格样式2"/>
            </w:pPr>
            <w:r>
              <w:t xml:space="preserve">国防支出</w:t>
            </w:r>
          </w:p>
        </w:tc>
        <w:tc>
          <w:tcPr>
            <w:tcW w:w="2551" w:type="dxa"/>
            <w:vAlign w:val="center"/>
          </w:tcPr>
          <w:p>
            <w:pPr>
              <w:pStyle w:val="单元格样式4"/>
            </w:pPr>
            <w:r>
              <w:t xml:space="preserve">58.00</w:t>
            </w:r>
          </w:p>
        </w:tc>
        <w:tc>
          <w:tcPr>
            <w:tcW w:w="2551" w:type="dxa"/>
            <w:vAlign w:val="center"/>
          </w:tcPr>
          <w:p>
            <w:pPr>
              <w:pStyle w:val="单元格样式4"/>
            </w:pPr>
          </w:p>
        </w:tc>
        <w:tc>
          <w:tcPr>
            <w:tcW w:w="2551" w:type="dxa"/>
            <w:vAlign w:val="center"/>
          </w:tcPr>
          <w:p>
            <w:pPr>
              <w:pStyle w:val="单元格样式4"/>
            </w:pPr>
            <w:r>
              <w:t xml:space="preserve">58.00</w:t>
            </w: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20306</w:t>
            </w:r>
          </w:p>
        </w:tc>
        <w:tc>
          <w:tcPr>
            <w:tcW w:w="4535" w:type="dxa"/>
            <w:vAlign w:val="center"/>
          </w:tcPr>
          <w:p>
            <w:pPr>
              <w:pStyle w:val="单元格样式2"/>
            </w:pPr>
            <w:r>
              <w:t xml:space="preserve">国防动员</w:t>
            </w:r>
          </w:p>
        </w:tc>
        <w:tc>
          <w:tcPr>
            <w:tcW w:w="2551" w:type="dxa"/>
            <w:vAlign w:val="center"/>
          </w:tcPr>
          <w:p>
            <w:pPr>
              <w:pStyle w:val="单元格样式4"/>
            </w:pPr>
            <w:r>
              <w:t xml:space="preserve">58.00</w:t>
            </w:r>
          </w:p>
        </w:tc>
        <w:tc>
          <w:tcPr>
            <w:tcW w:w="2551" w:type="dxa"/>
            <w:vAlign w:val="center"/>
          </w:tcPr>
          <w:p>
            <w:pPr>
              <w:pStyle w:val="单元格样式4"/>
            </w:pPr>
          </w:p>
        </w:tc>
        <w:tc>
          <w:tcPr>
            <w:tcW w:w="2551" w:type="dxa"/>
            <w:vAlign w:val="center"/>
          </w:tcPr>
          <w:p>
            <w:pPr>
              <w:pStyle w:val="单元格样式4"/>
            </w:pPr>
            <w:r>
              <w:t xml:space="preserve">58.00</w:t>
            </w: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2030607</w:t>
            </w:r>
          </w:p>
        </w:tc>
        <w:tc>
          <w:tcPr>
            <w:tcW w:w="4535" w:type="dxa"/>
            <w:vAlign w:val="center"/>
          </w:tcPr>
          <w:p>
            <w:pPr>
              <w:pStyle w:val="单元格样式2"/>
            </w:pPr>
            <w:r>
              <w:t xml:space="preserve">民兵</w:t>
            </w:r>
          </w:p>
        </w:tc>
        <w:tc>
          <w:tcPr>
            <w:tcW w:w="2551" w:type="dxa"/>
            <w:vAlign w:val="center"/>
          </w:tcPr>
          <w:p>
            <w:pPr>
              <w:pStyle w:val="单元格样式4"/>
            </w:pPr>
            <w:r>
              <w:t xml:space="preserve">58.00</w:t>
            </w:r>
          </w:p>
        </w:tc>
        <w:tc>
          <w:tcPr>
            <w:tcW w:w="2551" w:type="dxa"/>
            <w:vAlign w:val="center"/>
          </w:tcPr>
          <w:p>
            <w:pPr>
              <w:pStyle w:val="单元格样式4"/>
            </w:pPr>
          </w:p>
        </w:tc>
        <w:tc>
          <w:tcPr>
            <w:tcW w:w="2551" w:type="dxa"/>
            <w:vAlign w:val="center"/>
          </w:tcPr>
          <w:p>
            <w:pPr>
              <w:pStyle w:val="单元格样式4"/>
            </w:pPr>
            <w:r>
              <w:t xml:space="preserve">58.00</w:t>
            </w: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7.86</w:t>
            </w:r>
          </w:p>
        </w:tc>
        <w:tc>
          <w:tcPr>
            <w:tcW w:w="2551" w:type="dxa"/>
            <w:vAlign w:val="center"/>
          </w:tcPr>
          <w:p>
            <w:pPr>
              <w:pStyle w:val="单元格样式4"/>
            </w:pPr>
            <w:r>
              <w:t xml:space="preserve">7.86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7.30</w:t>
            </w:r>
          </w:p>
        </w:tc>
        <w:tc>
          <w:tcPr>
            <w:tcW w:w="2551" w:type="dxa"/>
            <w:vAlign w:val="center"/>
          </w:tcPr>
          <w:p>
            <w:pPr>
              <w:pStyle w:val="单元格样式4"/>
            </w:pPr>
            <w:r>
              <w:t xml:space="preserve">7.30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7.30</w:t>
            </w:r>
          </w:p>
        </w:tc>
        <w:tc>
          <w:tcPr>
            <w:tcW w:w="2551" w:type="dxa"/>
            <w:vAlign w:val="center"/>
          </w:tcPr>
          <w:p>
            <w:pPr>
              <w:pStyle w:val="单元格样式4"/>
            </w:pPr>
            <w:r>
              <w:t xml:space="preserve">7.30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20827</w:t>
            </w:r>
          </w:p>
        </w:tc>
        <w:tc>
          <w:tcPr>
            <w:tcW w:w="4535" w:type="dxa"/>
            <w:vAlign w:val="center"/>
          </w:tcPr>
          <w:p>
            <w:pPr>
              <w:pStyle w:val="单元格样式2"/>
            </w:pPr>
            <w:r>
              <w:t xml:space="preserve">财政对其他社会保险基金的补助</w:t>
            </w:r>
          </w:p>
        </w:tc>
        <w:tc>
          <w:tcPr>
            <w:tcW w:w="2551" w:type="dxa"/>
            <w:vAlign w:val="center"/>
          </w:tcPr>
          <w:p>
            <w:pPr>
              <w:pStyle w:val="单元格样式4"/>
            </w:pPr>
            <w:r>
              <w:t xml:space="preserve">0.56</w:t>
            </w:r>
          </w:p>
        </w:tc>
        <w:tc>
          <w:tcPr>
            <w:tcW w:w="2551" w:type="dxa"/>
            <w:vAlign w:val="center"/>
          </w:tcPr>
          <w:p>
            <w:pPr>
              <w:pStyle w:val="单元格样式4"/>
            </w:pPr>
            <w:r>
              <w:t xml:space="preserve">0.56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2082701</w:t>
            </w:r>
          </w:p>
        </w:tc>
        <w:tc>
          <w:tcPr>
            <w:tcW w:w="4535" w:type="dxa"/>
            <w:vAlign w:val="center"/>
          </w:tcPr>
          <w:p>
            <w:pPr>
              <w:pStyle w:val="单元格样式2"/>
            </w:pPr>
            <w:r>
              <w:t xml:space="preserve">财政对失业保险基金的补助</w:t>
            </w:r>
          </w:p>
        </w:tc>
        <w:tc>
          <w:tcPr>
            <w:tcW w:w="2551" w:type="dxa"/>
            <w:vAlign w:val="center"/>
          </w:tcPr>
          <w:p>
            <w:pPr>
              <w:pStyle w:val="单元格样式4"/>
            </w:pPr>
            <w:r>
              <w:t xml:space="preserve">0.33</w:t>
            </w:r>
          </w:p>
        </w:tc>
        <w:tc>
          <w:tcPr>
            <w:tcW w:w="2551" w:type="dxa"/>
            <w:vAlign w:val="center"/>
          </w:tcPr>
          <w:p>
            <w:pPr>
              <w:pStyle w:val="单元格样式4"/>
            </w:pPr>
            <w:r>
              <w:t xml:space="preserve">0.33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2082702</w:t>
            </w:r>
          </w:p>
        </w:tc>
        <w:tc>
          <w:tcPr>
            <w:tcW w:w="4535" w:type="dxa"/>
            <w:vAlign w:val="center"/>
          </w:tcPr>
          <w:p>
            <w:pPr>
              <w:pStyle w:val="单元格样式2"/>
            </w:pPr>
            <w:r>
              <w:t xml:space="preserve">财政对工伤保险基金的补助</w:t>
            </w:r>
          </w:p>
        </w:tc>
        <w:tc>
          <w:tcPr>
            <w:tcW w:w="2551" w:type="dxa"/>
            <w:vAlign w:val="center"/>
          </w:tcPr>
          <w:p>
            <w:pPr>
              <w:pStyle w:val="单元格样式4"/>
            </w:pPr>
            <w:r>
              <w:t xml:space="preserve">0.23</w:t>
            </w:r>
          </w:p>
        </w:tc>
        <w:tc>
          <w:tcPr>
            <w:tcW w:w="2551" w:type="dxa"/>
            <w:vAlign w:val="center"/>
          </w:tcPr>
          <w:p>
            <w:pPr>
              <w:pStyle w:val="单元格样式4"/>
            </w:pPr>
            <w:r>
              <w:t xml:space="preserve">0.23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3.75</w:t>
            </w:r>
          </w:p>
        </w:tc>
        <w:tc>
          <w:tcPr>
            <w:tcW w:w="2551" w:type="dxa"/>
            <w:vAlign w:val="center"/>
          </w:tcPr>
          <w:p>
            <w:pPr>
              <w:pStyle w:val="单元格样式4"/>
            </w:pPr>
            <w:r>
              <w:t xml:space="preserve">3.75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3.75</w:t>
            </w:r>
          </w:p>
        </w:tc>
        <w:tc>
          <w:tcPr>
            <w:tcW w:w="2551" w:type="dxa"/>
            <w:vAlign w:val="center"/>
          </w:tcPr>
          <w:p>
            <w:pPr>
              <w:pStyle w:val="单元格样式4"/>
            </w:pPr>
            <w:r>
              <w:t xml:space="preserve">3.75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2551" w:type="dxa"/>
            <w:vAlign w:val="center"/>
          </w:tcPr>
          <w:p>
            <w:pPr>
              <w:pStyle w:val="单元格样式4"/>
            </w:pPr>
            <w:r>
              <w:t xml:space="preserve">3.75</w:t>
            </w:r>
          </w:p>
        </w:tc>
        <w:tc>
          <w:tcPr>
            <w:tcW w:w="2551" w:type="dxa"/>
            <w:vAlign w:val="center"/>
          </w:tcPr>
          <w:p>
            <w:pPr>
              <w:pStyle w:val="单元格样式4"/>
            </w:pPr>
            <w:r>
              <w:t xml:space="preserve">3.75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5.87</w:t>
            </w:r>
          </w:p>
        </w:tc>
        <w:tc>
          <w:tcPr>
            <w:tcW w:w="2551" w:type="dxa"/>
            <w:vAlign w:val="center"/>
          </w:tcPr>
          <w:p>
            <w:pPr>
              <w:pStyle w:val="单元格样式4"/>
            </w:pPr>
            <w:r>
              <w:t xml:space="preserve">5.87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5.87</w:t>
            </w:r>
          </w:p>
        </w:tc>
        <w:tc>
          <w:tcPr>
            <w:tcW w:w="2551" w:type="dxa"/>
            <w:vAlign w:val="center"/>
          </w:tcPr>
          <w:p>
            <w:pPr>
              <w:pStyle w:val="单元格样式4"/>
            </w:pPr>
            <w:r>
              <w:t xml:space="preserve">5.87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5.87</w:t>
            </w:r>
          </w:p>
        </w:tc>
        <w:tc>
          <w:tcPr>
            <w:tcW w:w="2551" w:type="dxa"/>
            <w:vAlign w:val="center"/>
          </w:tcPr>
          <w:p>
            <w:pPr>
              <w:pStyle w:val="单元格样式4"/>
            </w:pPr>
            <w:r>
              <w:t xml:space="preserve">5.87</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302001深泽县民兵训练基地本级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88.60</w:t>
            </w:r>
          </w:p>
        </w:tc>
        <w:tc>
          <w:tcPr>
            <w:tcW w:w="2551" w:type="dxa"/>
            <w:vAlign w:val="center"/>
          </w:tcPr>
          <w:p>
            <w:pPr>
              <w:pStyle w:val="单元格样式7"/>
            </w:pPr>
            <w:r>
              <w:t xml:space="preserve">86.62</w:t>
            </w:r>
          </w:p>
        </w:tc>
        <w:tc>
          <w:tcPr>
            <w:tcW w:w="2551" w:type="dxa"/>
            <w:vAlign w:val="center"/>
          </w:tcPr>
          <w:p>
            <w:pPr>
              <w:pStyle w:val="单元格样式7"/>
            </w:pPr>
            <w:r>
              <w:t xml:space="preserve">1.98</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67.61</w:t>
            </w:r>
          </w:p>
        </w:tc>
        <w:tc>
          <w:tcPr>
            <w:tcW w:w="2551" w:type="dxa"/>
            <w:vAlign w:val="center"/>
          </w:tcPr>
          <w:p>
            <w:pPr>
              <w:pStyle w:val="单元格样式4"/>
            </w:pPr>
            <w:r>
              <w:t xml:space="preserve">67.61</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27.91</w:t>
            </w:r>
          </w:p>
        </w:tc>
        <w:tc>
          <w:tcPr>
            <w:tcW w:w="2551" w:type="dxa"/>
            <w:vAlign w:val="center"/>
          </w:tcPr>
          <w:p>
            <w:pPr>
              <w:pStyle w:val="单元格样式4"/>
            </w:pPr>
            <w:r>
              <w:t xml:space="preserve">27.91</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1.20</w:t>
            </w:r>
          </w:p>
        </w:tc>
        <w:tc>
          <w:tcPr>
            <w:tcW w:w="2551" w:type="dxa"/>
            <w:vAlign w:val="center"/>
          </w:tcPr>
          <w:p>
            <w:pPr>
              <w:pStyle w:val="单元格样式4"/>
            </w:pPr>
            <w:r>
              <w:t xml:space="preserve">1.20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21.02</w:t>
            </w:r>
          </w:p>
        </w:tc>
        <w:tc>
          <w:tcPr>
            <w:tcW w:w="2551" w:type="dxa"/>
            <w:vAlign w:val="center"/>
          </w:tcPr>
          <w:p>
            <w:pPr>
              <w:pStyle w:val="单元格样式4"/>
            </w:pPr>
            <w:r>
              <w:t xml:space="preserve">21.02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7.30</w:t>
            </w:r>
          </w:p>
        </w:tc>
        <w:tc>
          <w:tcPr>
            <w:tcW w:w="2551" w:type="dxa"/>
            <w:vAlign w:val="center"/>
          </w:tcPr>
          <w:p>
            <w:pPr>
              <w:pStyle w:val="单元格样式4"/>
            </w:pPr>
            <w:r>
              <w:t xml:space="preserve">7.30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3.75</w:t>
            </w:r>
          </w:p>
        </w:tc>
        <w:tc>
          <w:tcPr>
            <w:tcW w:w="2551" w:type="dxa"/>
            <w:vAlign w:val="center"/>
          </w:tcPr>
          <w:p>
            <w:pPr>
              <w:pStyle w:val="单元格样式4"/>
            </w:pPr>
            <w:r>
              <w:t xml:space="preserve">3.75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0.56</w:t>
            </w:r>
          </w:p>
        </w:tc>
        <w:tc>
          <w:tcPr>
            <w:tcW w:w="2551" w:type="dxa"/>
            <w:vAlign w:val="center"/>
          </w:tcPr>
          <w:p>
            <w:pPr>
              <w:pStyle w:val="单元格样式4"/>
            </w:pPr>
            <w:r>
              <w:t xml:space="preserve">0.56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5.87</w:t>
            </w:r>
          </w:p>
        </w:tc>
        <w:tc>
          <w:tcPr>
            <w:tcW w:w="2551" w:type="dxa"/>
            <w:vAlign w:val="center"/>
          </w:tcPr>
          <w:p>
            <w:pPr>
              <w:pStyle w:val="单元格样式4"/>
            </w:pPr>
            <w:r>
              <w:t xml:space="preserve">5.87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1.98</w:t>
            </w:r>
          </w:p>
        </w:tc>
        <w:tc>
          <w:tcPr>
            <w:tcW w:w="2551" w:type="dxa"/>
            <w:vAlign w:val="center"/>
          </w:tcPr>
          <w:p>
            <w:pPr>
              <w:pStyle w:val="单元格样式4"/>
            </w:pPr>
          </w:p>
        </w:tc>
        <w:tc>
          <w:tcPr>
            <w:tcW w:w="2551" w:type="dxa"/>
            <w:vAlign w:val="center"/>
          </w:tcPr>
          <w:p>
            <w:pPr>
              <w:pStyle w:val="单元格样式4"/>
            </w:pPr>
            <w:r>
              <w:t xml:space="preserve">1.98</w:t>
            </w: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1.80</w:t>
            </w:r>
          </w:p>
        </w:tc>
        <w:tc>
          <w:tcPr>
            <w:tcW w:w="2551" w:type="dxa"/>
            <w:vAlign w:val="center"/>
          </w:tcPr>
          <w:p>
            <w:pPr>
              <w:pStyle w:val="单元格样式4"/>
            </w:pPr>
          </w:p>
        </w:tc>
        <w:tc>
          <w:tcPr>
            <w:tcW w:w="2551" w:type="dxa"/>
            <w:vAlign w:val="center"/>
          </w:tcPr>
          <w:p>
            <w:pPr>
              <w:pStyle w:val="单元格样式4"/>
            </w:pPr>
            <w:r>
              <w:t xml:space="preserve">1.80</w:t>
            </w:r>
          </w:p>
        </w:tc>
      </w:tr>
      <w:tr>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0.18</w:t>
            </w:r>
          </w:p>
        </w:tc>
        <w:tc>
          <w:tcPr>
            <w:tcW w:w="2551" w:type="dxa"/>
            <w:vAlign w:val="center"/>
          </w:tcPr>
          <w:p>
            <w:pPr>
              <w:pStyle w:val="单元格样式4"/>
            </w:pPr>
          </w:p>
        </w:tc>
        <w:tc>
          <w:tcPr>
            <w:tcW w:w="2551" w:type="dxa"/>
            <w:vAlign w:val="center"/>
          </w:tcPr>
          <w:p>
            <w:pPr>
              <w:pStyle w:val="单元格样式4"/>
            </w:pPr>
            <w:r>
              <w:t xml:space="preserve">0.18</w:t>
            </w:r>
          </w:p>
        </w:tc>
      </w:tr>
      <w:tr>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19.01</w:t>
            </w:r>
          </w:p>
        </w:tc>
        <w:tc>
          <w:tcPr>
            <w:tcW w:w="2551" w:type="dxa"/>
            <w:vAlign w:val="center"/>
          </w:tcPr>
          <w:p>
            <w:pPr>
              <w:pStyle w:val="单元格样式4"/>
            </w:pPr>
            <w:r>
              <w:t xml:space="preserve">19.01</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19.01</w:t>
            </w:r>
          </w:p>
        </w:tc>
        <w:tc>
          <w:tcPr>
            <w:tcW w:w="2551" w:type="dxa"/>
            <w:vAlign w:val="center"/>
          </w:tcPr>
          <w:p>
            <w:pPr>
              <w:pStyle w:val="单元格样式4"/>
            </w:pPr>
            <w:r>
              <w:t xml:space="preserve">19.01</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302001深泽县民兵训练基地本级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pgBorders/>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302001深泽县民兵训练基地本级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pgBorders/>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798"/>
        <w:gridCol w:w="2381"/>
        <w:gridCol w:w="2381"/>
        <w:gridCol w:w="2381"/>
        <w:gridCol w:w="2381"/>
      </w:tblGrid>
      <w:tr>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302001深泽县民兵训练基地本级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rPr>
          <w:trHeight w:val="567"/>
          <w:tblHeader/>
          <w:jc w:val="center"/>
        </w:trPr>
        <w:tc>
          <w:tcPr>
            <w:tcW w:w="850" w:type="dxa"/>
            <w:vMerge/>
          </w:tcPr>
          <w:p>
            <w:pPr/>
          </w:p>
        </w:tc>
        <w:tc>
          <w:tcPr>
            <w:tcW w:w="3798" w:type="dxa"/>
            <w:vMerge/>
          </w:tcPr>
          <w:p>
            <w:p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361" w:left="1020" w:header="720" w:footer="720" w:gutter="0"/>
          <w:pgBorders/>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ind w:firstLine="0"/>
        <w:jc w:val="center"/>
        <w:outlineLvl w:val="4"/>
      </w:pPr>
      <w:r>
        <w:rPr>
          <w:rFonts w:ascii="方正小标宋_GBK" w:eastAsia="方正小标宋_GBK" w:hAnsi="方正小标宋_GBK" w:cs="方正小标宋_GBK"/>
          <w:b w:val="0"/>
          <w:color w:val="000000"/>
          <w:sz w:val="44"/>
        </w:rPr>
        <w:t xml:space="preserve">深泽县民兵训练基地本级2025年单位预算信息公开情况说明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按照《中华人民共和国预算法》、《地方预决算公开操作规程》和《关于进一步推进预算公开工作的实施意见》规定，现将深泽县民兵训练基地本级2025年单位预算公开如下：</w:t>
      </w:r>
    </w:p>
    <w:p>
      <w:pPr>
        <w:spacing w:before="10" w:after="10" w:line="240"/>
        <w:ind w:firstLine="640"/>
        <w:jc w:val="left"/>
        <w:outlineLvl w:val="5"/>
      </w:pPr>
      <w:r>
        <w:rPr>
          <w:rFonts w:ascii="黑体" w:eastAsia="黑体" w:hAnsi="黑体" w:cs="黑体"/>
          <w:color w:val="000000"/>
          <w:sz w:val="32"/>
        </w:rPr>
        <w:t xml:space="preserve">一、单位职责及机构设置情况</w:t>
      </w:r>
    </w:p>
    <w:p>
      <w:pPr>
        <w:spacing w:before="0" w:after="0" w:line="240"/>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一、负责民兵训练基地的使用和管理工作，适时提出建设意见。</w:t>
      </w:r>
    </w:p>
    <w:p>
      <w:pPr>
        <w:pStyle w:val="插入文本样式-插入单位职责文件"/>
      </w:pPr>
      <w:r>
        <w:t xml:space="preserve">二、组织所属人员业务培训，不断提高管理和保障能力，根据训练计划，完成训练保障任务。</w:t>
      </w:r>
    </w:p>
    <w:p>
      <w:pPr>
        <w:pStyle w:val="插入文本样式-插入单位职责文件"/>
      </w:pPr>
      <w:r>
        <w:t xml:space="preserve">三、了解和掌握所属人员的思想情况，做好经常性的思想政治工作。</w:t>
      </w:r>
    </w:p>
    <w:p>
      <w:pPr>
        <w:pStyle w:val="插入文本样式-插入单位职责文件"/>
      </w:pPr>
      <w:r>
        <w:t xml:space="preserve">四、掌握各种合适、装备的数量和技术状况，及时组织技术保养和维修。</w:t>
      </w:r>
    </w:p>
    <w:p>
      <w:pPr>
        <w:pStyle w:val="插入文本样式-插入单位职责文件"/>
      </w:pPr>
      <w:r>
        <w:t xml:space="preserve">五、组织所属人员贯彻执行有关条令、条例和规章制度，严格行政管理，遵纪守法，严守秘密、预防各种事故、案件发生。</w:t>
      </w:r>
    </w:p>
    <w:p>
      <w:pPr>
        <w:pStyle w:val="插入文本样式-插入单位职责文件"/>
      </w:pPr>
      <w:r>
        <w:t xml:space="preserve">六、完成部首长交办的其他工作。</w:t>
      </w:r>
    </w:p>
    <w:p>
      <w:pPr>
        <w:spacing w:before="0" w:after="0" w:line="240"/>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5669"/>
        <w:gridCol w:w="1843"/>
        <w:gridCol w:w="2126"/>
        <w:gridCol w:w="3827"/>
      </w:tblGrid>
      <w:tr>
        <w:trPr>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rPr>
          <w:trHeight w:val="369"/>
          <w:jc w:val="center"/>
        </w:trPr>
        <w:tc>
          <w:tcPr>
            <w:tcW w:w="5669" w:type="dxa"/>
            <w:vAlign w:val="center"/>
          </w:tcPr>
          <w:p>
            <w:pPr>
              <w:pStyle w:val="单元格样式2"/>
            </w:pPr>
            <w:r>
              <w:t xml:space="preserve">深泽县民兵训练基地本级</w:t>
            </w:r>
          </w:p>
        </w:tc>
        <w:tc>
          <w:tcPr>
            <w:tcW w:w="1843" w:type="dxa"/>
            <w:vAlign w:val="center"/>
          </w:tcPr>
          <w:p>
            <w:pPr>
              <w:pStyle w:val="单元格样式3"/>
            </w:pPr>
            <w:r>
              <w:t xml:space="preserve">事业</w:t>
            </w:r>
          </w:p>
        </w:tc>
        <w:tc>
          <w:tcPr>
            <w:tcW w:w="2126" w:type="dxa"/>
            <w:vAlign w:val="center"/>
          </w:tcPr>
          <w:p>
            <w:pPr>
              <w:pStyle w:val="单元格样式3"/>
            </w:pPr>
          </w:p>
        </w:tc>
        <w:tc>
          <w:tcPr>
            <w:tcW w:w="3827" w:type="dxa"/>
            <w:vAlign w:val="center"/>
          </w:tcPr>
          <w:p>
            <w:pPr>
              <w:pStyle w:val="单元格样式3"/>
            </w:pPr>
            <w:r>
              <w:t xml:space="preserve">财政性资金基本保证</w:t>
            </w:r>
          </w:p>
        </w:tc>
      </w:tr>
    </w:tbl>
    <w:p>
      <w:pPr>
        <w:spacing w:before="10" w:after="10" w:line="240"/>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2025年预算收入146.60万元，其中：一般公共预算收入146.60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深泽县民兵训练基地本级年度单位预算中支出预算的总体情况。2025年支出预算146.60万元，其中基本支出88.60万元，包括人员经费86.62万元和日常公用经费1.98万元；项目支出58.00万元，主要为项目主要为民兵训练工作经费，营区维护费。</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2025年预算收支安排146.60万元，较2024年预算增加2.97万元，其中：基本支出增加24.68万元，主要为工资标准调整，民兵训练基地新增2人。项目支出减少21.71万元，主要为民兵专用工作经费减少。</w:t>
      </w:r>
    </w:p>
    <w:p>
      <w:pPr>
        <w:spacing w:before="10" w:after="10" w:line="240"/>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p>
    <w:p>
      <w:pPr>
        <w:spacing w:before="10" w:after="10" w:line="240"/>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p>
    <w:p>
      <w:pPr>
        <w:spacing w:before="10" w:after="10" w:line="240"/>
        <w:ind w:firstLine="640"/>
        <w:jc w:val="left"/>
        <w:outlineLvl w:val="5"/>
        <w:sectPr>
          <w:type w:val="nextPage"/>
          <w:pgSz w:w="16840" w:h="11900" w:orient="landscape"/>
          <w:pgMar w:top="1361" w:right="1020" w:bottom="1361" w:left="1020" w:header="720" w:footer="720" w:gutter="0"/>
          <w:pgBorders/>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1、兵役征集费绩效目标表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13012825P000279100011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兵役征集费</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兵役征集费：完成2025年兵役征集工作。</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13.00</w:t>
            </w:r>
          </w:p>
        </w:tc>
        <w:tc>
          <w:tcPr>
            <w:tcW w:w="2835" w:type="dxa"/>
            <w:vAlign w:val="center"/>
          </w:tcPr>
          <w:p>
            <w:pPr>
              <w:pStyle w:val="单元格样式3"/>
            </w:pPr>
            <w:r>
              <w:t xml:space="preserve">13.00</w:t>
            </w:r>
          </w:p>
        </w:tc>
        <w:tc>
          <w:tcPr>
            <w:tcW w:w="2551" w:type="dxa"/>
            <w:vAlign w:val="center"/>
          </w:tcPr>
          <w:p>
            <w:pPr>
              <w:pStyle w:val="单元格样式3"/>
            </w:pPr>
            <w:r>
              <w:t xml:space="preserve">13.00</w:t>
            </w:r>
          </w:p>
        </w:tc>
        <w:tc>
          <w:tcPr>
            <w:tcW w:w="3544" w:type="dxa"/>
            <w:gridSpan w:val="2"/>
            <w:vAlign w:val="center"/>
          </w:tcPr>
          <w:p>
            <w:pPr>
              <w:pStyle w:val="单元格样式3"/>
            </w:pPr>
            <w:r>
              <w:t xml:space="preserve">13.00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1.兵役征集费：完成2025年兵役征集工作。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数据整理完成率</w:t>
            </w:r>
          </w:p>
        </w:tc>
        <w:tc>
          <w:tcPr>
            <w:tcW w:w="5386" w:type="dxa"/>
            <w:vAlign w:val="center"/>
          </w:tcPr>
          <w:p>
            <w:pPr>
              <w:pStyle w:val="单元格样式2"/>
            </w:pPr>
            <w:r>
              <w:t xml:space="preserve">数据整理完成率</w:t>
            </w:r>
          </w:p>
        </w:tc>
        <w:tc>
          <w:tcPr>
            <w:tcW w:w="2268" w:type="dxa"/>
            <w:vAlign w:val="center"/>
          </w:tcPr>
          <w:p>
            <w:pPr>
              <w:pStyle w:val="单元格样式2"/>
            </w:pPr>
            <w:r>
              <w:t xml:space="preserve">≥80百分比</w:t>
            </w:r>
          </w:p>
        </w:tc>
        <w:tc>
          <w:tcPr>
            <w:tcW w:w="1276" w:type="dxa"/>
            <w:vAlign w:val="center"/>
          </w:tcPr>
          <w:p>
            <w:pPr>
              <w:pStyle w:val="单元格样式2"/>
            </w:pPr>
            <w:r>
              <w:t xml:space="preserve">政策依据</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正常运转率</w:t>
            </w:r>
          </w:p>
        </w:tc>
        <w:tc>
          <w:tcPr>
            <w:tcW w:w="5386" w:type="dxa"/>
            <w:vAlign w:val="center"/>
          </w:tcPr>
          <w:p>
            <w:pPr>
              <w:pStyle w:val="单元格样式2"/>
            </w:pPr>
            <w:r>
              <w:t xml:space="preserve">正常运转率</w:t>
            </w:r>
          </w:p>
        </w:tc>
        <w:tc>
          <w:tcPr>
            <w:tcW w:w="2268" w:type="dxa"/>
            <w:vAlign w:val="center"/>
          </w:tcPr>
          <w:p>
            <w:pPr>
              <w:pStyle w:val="单元格样式2"/>
            </w:pPr>
            <w:r>
              <w:t xml:space="preserve">≥80百分比</w:t>
            </w:r>
          </w:p>
        </w:tc>
        <w:tc>
          <w:tcPr>
            <w:tcW w:w="1276" w:type="dxa"/>
            <w:vAlign w:val="center"/>
          </w:tcPr>
          <w:p>
            <w:pPr>
              <w:pStyle w:val="单元格样式2"/>
            </w:pPr>
            <w:r>
              <w:t xml:space="preserve">政策依据</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完工及时率</w:t>
            </w:r>
          </w:p>
        </w:tc>
        <w:tc>
          <w:tcPr>
            <w:tcW w:w="2268" w:type="dxa"/>
            <w:vAlign w:val="center"/>
          </w:tcPr>
          <w:p>
            <w:pPr>
              <w:pStyle w:val="单元格样式2"/>
            </w:pPr>
            <w:r>
              <w:t xml:space="preserve">≥80百分比</w:t>
            </w:r>
          </w:p>
        </w:tc>
        <w:tc>
          <w:tcPr>
            <w:tcW w:w="1276" w:type="dxa"/>
            <w:vAlign w:val="center"/>
          </w:tcPr>
          <w:p>
            <w:pPr>
              <w:pStyle w:val="单元格样式2"/>
            </w:pPr>
            <w:r>
              <w:t xml:space="preserve">政策依据</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≥80百分比</w:t>
            </w:r>
          </w:p>
        </w:tc>
        <w:tc>
          <w:tcPr>
            <w:tcW w:w="1276" w:type="dxa"/>
            <w:vAlign w:val="center"/>
          </w:tcPr>
          <w:p>
            <w:pPr>
              <w:pStyle w:val="单元格样式2"/>
            </w:pPr>
            <w:r>
              <w:t xml:space="preserve">政策依据</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提高效率</w:t>
            </w:r>
          </w:p>
        </w:tc>
        <w:tc>
          <w:tcPr>
            <w:tcW w:w="5386" w:type="dxa"/>
            <w:vAlign w:val="center"/>
          </w:tcPr>
          <w:p>
            <w:pPr>
              <w:pStyle w:val="单元格样式2"/>
            </w:pPr>
            <w:r>
              <w:t xml:space="preserve">提高效率</w:t>
            </w:r>
          </w:p>
        </w:tc>
        <w:tc>
          <w:tcPr>
            <w:tcW w:w="2268" w:type="dxa"/>
            <w:vAlign w:val="center"/>
          </w:tcPr>
          <w:p>
            <w:pPr>
              <w:pStyle w:val="单元格样式2"/>
            </w:pPr>
            <w:r>
              <w:t xml:space="preserve">≥80百分比</w:t>
            </w:r>
          </w:p>
        </w:tc>
        <w:tc>
          <w:tcPr>
            <w:tcW w:w="1276" w:type="dxa"/>
            <w:vAlign w:val="center"/>
          </w:tcPr>
          <w:p>
            <w:pPr>
              <w:pStyle w:val="单元格样式2"/>
            </w:pPr>
            <w:r>
              <w:t xml:space="preserve">政策依据</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公共服务水平提升情况</w:t>
            </w:r>
          </w:p>
        </w:tc>
        <w:tc>
          <w:tcPr>
            <w:tcW w:w="5386" w:type="dxa"/>
            <w:vAlign w:val="center"/>
          </w:tcPr>
          <w:p>
            <w:pPr>
              <w:pStyle w:val="单元格样式2"/>
            </w:pPr>
            <w:r>
              <w:t xml:space="preserve">公共服务水平提升情况</w:t>
            </w:r>
          </w:p>
        </w:tc>
        <w:tc>
          <w:tcPr>
            <w:tcW w:w="2268" w:type="dxa"/>
            <w:vAlign w:val="center"/>
          </w:tcPr>
          <w:p>
            <w:pPr>
              <w:pStyle w:val="单元格样式2"/>
            </w:pPr>
            <w:r>
              <w:t xml:space="preserve">≥80百分比</w:t>
            </w:r>
          </w:p>
        </w:tc>
        <w:tc>
          <w:tcPr>
            <w:tcW w:w="1276" w:type="dxa"/>
            <w:vAlign w:val="center"/>
          </w:tcPr>
          <w:p>
            <w:pPr>
              <w:pStyle w:val="单元格样式2"/>
            </w:pPr>
            <w:r>
              <w:t xml:space="preserve">政策依据</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≥80百分比</w:t>
            </w:r>
          </w:p>
        </w:tc>
        <w:tc>
          <w:tcPr>
            <w:tcW w:w="1276" w:type="dxa"/>
            <w:vAlign w:val="center"/>
          </w:tcPr>
          <w:p>
            <w:pPr>
              <w:pStyle w:val="单元格样式2"/>
            </w:pPr>
            <w:r>
              <w:t xml:space="preserve">政策依据</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维护社会稳定</w:t>
            </w:r>
          </w:p>
        </w:tc>
        <w:tc>
          <w:tcPr>
            <w:tcW w:w="5386" w:type="dxa"/>
            <w:vAlign w:val="center"/>
          </w:tcPr>
          <w:p>
            <w:pPr>
              <w:pStyle w:val="单元格样式2"/>
            </w:pPr>
            <w:r>
              <w:t xml:space="preserve">维护社会稳定</w:t>
            </w:r>
          </w:p>
        </w:tc>
        <w:tc>
          <w:tcPr>
            <w:tcW w:w="2268" w:type="dxa"/>
            <w:vAlign w:val="center"/>
          </w:tcPr>
          <w:p>
            <w:pPr>
              <w:pStyle w:val="单元格样式2"/>
            </w:pPr>
            <w:r>
              <w:t xml:space="preserve">≥80百分比</w:t>
            </w:r>
          </w:p>
        </w:tc>
        <w:tc>
          <w:tcPr>
            <w:tcW w:w="1276" w:type="dxa"/>
            <w:vAlign w:val="center"/>
          </w:tcPr>
          <w:p>
            <w:pPr>
              <w:pStyle w:val="单元格样式2"/>
            </w:pPr>
            <w:r>
              <w:t xml:space="preserve">政策依据</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≥80百分比</w:t>
            </w:r>
          </w:p>
        </w:tc>
        <w:tc>
          <w:tcPr>
            <w:tcW w:w="1276" w:type="dxa"/>
            <w:vAlign w:val="center"/>
          </w:tcPr>
          <w:p>
            <w:pPr>
              <w:pStyle w:val="单元格样式2"/>
            </w:pPr>
            <w:r>
              <w:t xml:space="preserve">政策依据</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b/>
          <w:color w:val="000000"/>
          <w:sz w:val="28"/>
        </w:rPr>
        <w:t xml:space="preserve">2、民兵事业费绩效目标表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13012825P00027910002L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民兵事业费</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27.00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确保完成2025年民兵工作。</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27.00</w:t>
            </w:r>
          </w:p>
        </w:tc>
        <w:tc>
          <w:tcPr>
            <w:tcW w:w="2835" w:type="dxa"/>
            <w:vAlign w:val="center"/>
          </w:tcPr>
          <w:p>
            <w:pPr>
              <w:pStyle w:val="单元格样式3"/>
            </w:pPr>
            <w:r>
              <w:t xml:space="preserve">27.00</w:t>
            </w:r>
          </w:p>
        </w:tc>
        <w:tc>
          <w:tcPr>
            <w:tcW w:w="2551" w:type="dxa"/>
            <w:vAlign w:val="center"/>
          </w:tcPr>
          <w:p>
            <w:pPr>
              <w:pStyle w:val="单元格样式3"/>
            </w:pPr>
            <w:r>
              <w:t xml:space="preserve">27.00</w:t>
            </w:r>
          </w:p>
        </w:tc>
        <w:tc>
          <w:tcPr>
            <w:tcW w:w="3544" w:type="dxa"/>
            <w:gridSpan w:val="2"/>
            <w:vAlign w:val="center"/>
          </w:tcPr>
          <w:p>
            <w:pPr>
              <w:pStyle w:val="单元格样式3"/>
            </w:pPr>
            <w:r>
              <w:t xml:space="preserve">27.00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1.确保完成2025年民兵工作。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数据整理完成率</w:t>
            </w:r>
          </w:p>
        </w:tc>
        <w:tc>
          <w:tcPr>
            <w:tcW w:w="5386" w:type="dxa"/>
            <w:vAlign w:val="center"/>
          </w:tcPr>
          <w:p>
            <w:pPr>
              <w:pStyle w:val="单元格样式2"/>
            </w:pPr>
            <w:r>
              <w:t xml:space="preserve">数据整理完成率</w:t>
            </w:r>
          </w:p>
        </w:tc>
        <w:tc>
          <w:tcPr>
            <w:tcW w:w="2268" w:type="dxa"/>
            <w:vAlign w:val="center"/>
          </w:tcPr>
          <w:p>
            <w:pPr>
              <w:pStyle w:val="单元格样式2"/>
            </w:pPr>
            <w:r>
              <w:t xml:space="preserve">≥80百分比</w:t>
            </w:r>
          </w:p>
        </w:tc>
        <w:tc>
          <w:tcPr>
            <w:tcW w:w="1276" w:type="dxa"/>
            <w:vAlign w:val="center"/>
          </w:tcPr>
          <w:p>
            <w:pPr>
              <w:pStyle w:val="单元格样式2"/>
            </w:pPr>
            <w:r>
              <w:t xml:space="preserve">政策依据</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正常运转率</w:t>
            </w:r>
          </w:p>
        </w:tc>
        <w:tc>
          <w:tcPr>
            <w:tcW w:w="5386" w:type="dxa"/>
            <w:vAlign w:val="center"/>
          </w:tcPr>
          <w:p>
            <w:pPr>
              <w:pStyle w:val="单元格样式2"/>
            </w:pPr>
            <w:r>
              <w:t xml:space="preserve">正常运转率</w:t>
            </w:r>
          </w:p>
        </w:tc>
        <w:tc>
          <w:tcPr>
            <w:tcW w:w="2268" w:type="dxa"/>
            <w:vAlign w:val="center"/>
          </w:tcPr>
          <w:p>
            <w:pPr>
              <w:pStyle w:val="单元格样式2"/>
            </w:pPr>
            <w:r>
              <w:t xml:space="preserve">≥80百分比</w:t>
            </w:r>
          </w:p>
        </w:tc>
        <w:tc>
          <w:tcPr>
            <w:tcW w:w="1276" w:type="dxa"/>
            <w:vAlign w:val="center"/>
          </w:tcPr>
          <w:p>
            <w:pPr>
              <w:pStyle w:val="单元格样式2"/>
            </w:pPr>
            <w:r>
              <w:t xml:space="preserve">政策依据</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完工及时率</w:t>
            </w:r>
          </w:p>
        </w:tc>
        <w:tc>
          <w:tcPr>
            <w:tcW w:w="2268" w:type="dxa"/>
            <w:vAlign w:val="center"/>
          </w:tcPr>
          <w:p>
            <w:pPr>
              <w:pStyle w:val="单元格样式2"/>
            </w:pPr>
            <w:r>
              <w:t xml:space="preserve">≥80百分比</w:t>
            </w:r>
          </w:p>
        </w:tc>
        <w:tc>
          <w:tcPr>
            <w:tcW w:w="1276" w:type="dxa"/>
            <w:vAlign w:val="center"/>
          </w:tcPr>
          <w:p>
            <w:pPr>
              <w:pStyle w:val="单元格样式2"/>
            </w:pPr>
            <w:r>
              <w:t xml:space="preserve">政策依据</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≥80百分比</w:t>
            </w:r>
          </w:p>
        </w:tc>
        <w:tc>
          <w:tcPr>
            <w:tcW w:w="1276" w:type="dxa"/>
            <w:vAlign w:val="center"/>
          </w:tcPr>
          <w:p>
            <w:pPr>
              <w:pStyle w:val="单元格样式2"/>
            </w:pPr>
            <w:r>
              <w:t xml:space="preserve">政策依据</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提高效率</w:t>
            </w:r>
          </w:p>
        </w:tc>
        <w:tc>
          <w:tcPr>
            <w:tcW w:w="5386" w:type="dxa"/>
            <w:vAlign w:val="center"/>
          </w:tcPr>
          <w:p>
            <w:pPr>
              <w:pStyle w:val="单元格样式2"/>
            </w:pPr>
            <w:r>
              <w:t xml:space="preserve">提高效率</w:t>
            </w:r>
          </w:p>
        </w:tc>
        <w:tc>
          <w:tcPr>
            <w:tcW w:w="2268" w:type="dxa"/>
            <w:vAlign w:val="center"/>
          </w:tcPr>
          <w:p>
            <w:pPr>
              <w:pStyle w:val="单元格样式2"/>
            </w:pPr>
            <w:r>
              <w:t xml:space="preserve">≥80百分比</w:t>
            </w:r>
          </w:p>
        </w:tc>
        <w:tc>
          <w:tcPr>
            <w:tcW w:w="1276" w:type="dxa"/>
            <w:vAlign w:val="center"/>
          </w:tcPr>
          <w:p>
            <w:pPr>
              <w:pStyle w:val="单元格样式2"/>
            </w:pPr>
            <w:r>
              <w:t xml:space="preserve">政策依据</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公共服务水平提升情况</w:t>
            </w:r>
          </w:p>
        </w:tc>
        <w:tc>
          <w:tcPr>
            <w:tcW w:w="5386" w:type="dxa"/>
            <w:vAlign w:val="center"/>
          </w:tcPr>
          <w:p>
            <w:pPr>
              <w:pStyle w:val="单元格样式2"/>
            </w:pPr>
            <w:r>
              <w:t xml:space="preserve">公共服务水平提升情况</w:t>
            </w:r>
          </w:p>
        </w:tc>
        <w:tc>
          <w:tcPr>
            <w:tcW w:w="2268" w:type="dxa"/>
            <w:vAlign w:val="center"/>
          </w:tcPr>
          <w:p>
            <w:pPr>
              <w:pStyle w:val="单元格样式2"/>
            </w:pPr>
            <w:r>
              <w:t xml:space="preserve">≥80百分比</w:t>
            </w:r>
          </w:p>
        </w:tc>
        <w:tc>
          <w:tcPr>
            <w:tcW w:w="1276" w:type="dxa"/>
            <w:vAlign w:val="center"/>
          </w:tcPr>
          <w:p>
            <w:pPr>
              <w:pStyle w:val="单元格样式2"/>
            </w:pPr>
            <w:r>
              <w:t xml:space="preserve">政策依据</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≥80百分比</w:t>
            </w:r>
          </w:p>
        </w:tc>
        <w:tc>
          <w:tcPr>
            <w:tcW w:w="1276" w:type="dxa"/>
            <w:vAlign w:val="center"/>
          </w:tcPr>
          <w:p>
            <w:pPr>
              <w:pStyle w:val="单元格样式2"/>
            </w:pPr>
            <w:r>
              <w:t xml:space="preserve">政策依据</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维护社会稳定</w:t>
            </w:r>
          </w:p>
        </w:tc>
        <w:tc>
          <w:tcPr>
            <w:tcW w:w="5386" w:type="dxa"/>
            <w:vAlign w:val="center"/>
          </w:tcPr>
          <w:p>
            <w:pPr>
              <w:pStyle w:val="单元格样式2"/>
            </w:pPr>
            <w:r>
              <w:t xml:space="preserve">维护社会稳定</w:t>
            </w:r>
          </w:p>
        </w:tc>
        <w:tc>
          <w:tcPr>
            <w:tcW w:w="2268" w:type="dxa"/>
            <w:vAlign w:val="center"/>
          </w:tcPr>
          <w:p>
            <w:pPr>
              <w:pStyle w:val="单元格样式2"/>
            </w:pPr>
            <w:r>
              <w:t xml:space="preserve">≥80百分比</w:t>
            </w:r>
          </w:p>
        </w:tc>
        <w:tc>
          <w:tcPr>
            <w:tcW w:w="1276" w:type="dxa"/>
            <w:vAlign w:val="center"/>
          </w:tcPr>
          <w:p>
            <w:pPr>
              <w:pStyle w:val="单元格样式2"/>
            </w:pPr>
            <w:r>
              <w:t xml:space="preserve">政策依据</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≥80百分比</w:t>
            </w:r>
          </w:p>
        </w:tc>
        <w:tc>
          <w:tcPr>
            <w:tcW w:w="1276" w:type="dxa"/>
            <w:vAlign w:val="center"/>
          </w:tcPr>
          <w:p>
            <w:pPr>
              <w:pStyle w:val="单元格样式2"/>
            </w:pPr>
            <w:r>
              <w:t xml:space="preserve">政策依据</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b/>
          <w:color w:val="000000"/>
          <w:sz w:val="28"/>
        </w:rPr>
        <w:t xml:space="preserve">3、人武部保障经费绩效目标表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13012825P000279100038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人武部保障经费</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保障人武部工作顺利开展。</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10.00</w:t>
            </w:r>
          </w:p>
        </w:tc>
        <w:tc>
          <w:tcPr>
            <w:tcW w:w="2835" w:type="dxa"/>
            <w:vAlign w:val="center"/>
          </w:tcPr>
          <w:p>
            <w:pPr>
              <w:pStyle w:val="单元格样式3"/>
            </w:pPr>
            <w:r>
              <w:t xml:space="preserve">10.00</w:t>
            </w:r>
          </w:p>
        </w:tc>
        <w:tc>
          <w:tcPr>
            <w:tcW w:w="2551" w:type="dxa"/>
            <w:vAlign w:val="center"/>
          </w:tcPr>
          <w:p>
            <w:pPr>
              <w:pStyle w:val="单元格样式3"/>
            </w:pPr>
            <w:r>
              <w:t xml:space="preserve">10.00</w:t>
            </w:r>
          </w:p>
        </w:tc>
        <w:tc>
          <w:tcPr>
            <w:tcW w:w="3544" w:type="dxa"/>
            <w:gridSpan w:val="2"/>
            <w:vAlign w:val="center"/>
          </w:tcPr>
          <w:p>
            <w:pPr>
              <w:pStyle w:val="单元格样式3"/>
            </w:pPr>
            <w:r>
              <w:t xml:space="preserve">10.00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1.保障人武部工作顺利开展。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数据整理完成率</w:t>
            </w:r>
          </w:p>
        </w:tc>
        <w:tc>
          <w:tcPr>
            <w:tcW w:w="5386" w:type="dxa"/>
            <w:vAlign w:val="center"/>
          </w:tcPr>
          <w:p>
            <w:pPr>
              <w:pStyle w:val="单元格样式2"/>
            </w:pPr>
            <w:r>
              <w:t xml:space="preserve">数据整理完成率</w:t>
            </w:r>
          </w:p>
        </w:tc>
        <w:tc>
          <w:tcPr>
            <w:tcW w:w="2268" w:type="dxa"/>
            <w:vAlign w:val="center"/>
          </w:tcPr>
          <w:p>
            <w:pPr>
              <w:pStyle w:val="单元格样式2"/>
            </w:pPr>
            <w:r>
              <w:t xml:space="preserve">≥80百分比</w:t>
            </w:r>
          </w:p>
        </w:tc>
        <w:tc>
          <w:tcPr>
            <w:tcW w:w="1276" w:type="dxa"/>
            <w:vAlign w:val="center"/>
          </w:tcPr>
          <w:p>
            <w:pPr>
              <w:pStyle w:val="单元格样式2"/>
            </w:pPr>
            <w:r>
              <w:t xml:space="preserve">政策依据</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正常运转率</w:t>
            </w:r>
          </w:p>
        </w:tc>
        <w:tc>
          <w:tcPr>
            <w:tcW w:w="5386" w:type="dxa"/>
            <w:vAlign w:val="center"/>
          </w:tcPr>
          <w:p>
            <w:pPr>
              <w:pStyle w:val="单元格样式2"/>
            </w:pPr>
            <w:r>
              <w:t xml:space="preserve">正常运转率</w:t>
            </w:r>
          </w:p>
        </w:tc>
        <w:tc>
          <w:tcPr>
            <w:tcW w:w="2268" w:type="dxa"/>
            <w:vAlign w:val="center"/>
          </w:tcPr>
          <w:p>
            <w:pPr>
              <w:pStyle w:val="单元格样式2"/>
            </w:pPr>
            <w:r>
              <w:t xml:space="preserve">≥80百分比</w:t>
            </w:r>
          </w:p>
        </w:tc>
        <w:tc>
          <w:tcPr>
            <w:tcW w:w="1276" w:type="dxa"/>
            <w:vAlign w:val="center"/>
          </w:tcPr>
          <w:p>
            <w:pPr>
              <w:pStyle w:val="单元格样式2"/>
            </w:pPr>
            <w:r>
              <w:t xml:space="preserve">政策依据</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完工及时率</w:t>
            </w:r>
          </w:p>
        </w:tc>
        <w:tc>
          <w:tcPr>
            <w:tcW w:w="2268" w:type="dxa"/>
            <w:vAlign w:val="center"/>
          </w:tcPr>
          <w:p>
            <w:pPr>
              <w:pStyle w:val="单元格样式2"/>
            </w:pPr>
            <w:r>
              <w:t xml:space="preserve">≥80百分比</w:t>
            </w:r>
          </w:p>
        </w:tc>
        <w:tc>
          <w:tcPr>
            <w:tcW w:w="1276" w:type="dxa"/>
            <w:vAlign w:val="center"/>
          </w:tcPr>
          <w:p>
            <w:pPr>
              <w:pStyle w:val="单元格样式2"/>
            </w:pPr>
            <w:r>
              <w:t xml:space="preserve">政策依据</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≥80百分比</w:t>
            </w:r>
          </w:p>
        </w:tc>
        <w:tc>
          <w:tcPr>
            <w:tcW w:w="1276" w:type="dxa"/>
            <w:vAlign w:val="center"/>
          </w:tcPr>
          <w:p>
            <w:pPr>
              <w:pStyle w:val="单元格样式2"/>
            </w:pPr>
            <w:r>
              <w:t xml:space="preserve">政策依据</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提高效率</w:t>
            </w:r>
          </w:p>
        </w:tc>
        <w:tc>
          <w:tcPr>
            <w:tcW w:w="5386" w:type="dxa"/>
            <w:vAlign w:val="center"/>
          </w:tcPr>
          <w:p>
            <w:pPr>
              <w:pStyle w:val="单元格样式2"/>
            </w:pPr>
            <w:r>
              <w:t xml:space="preserve">提高效率</w:t>
            </w:r>
          </w:p>
        </w:tc>
        <w:tc>
          <w:tcPr>
            <w:tcW w:w="2268" w:type="dxa"/>
            <w:vAlign w:val="center"/>
          </w:tcPr>
          <w:p>
            <w:pPr>
              <w:pStyle w:val="单元格样式2"/>
            </w:pPr>
            <w:r>
              <w:t xml:space="preserve">≥80百分比</w:t>
            </w:r>
          </w:p>
        </w:tc>
        <w:tc>
          <w:tcPr>
            <w:tcW w:w="1276" w:type="dxa"/>
            <w:vAlign w:val="center"/>
          </w:tcPr>
          <w:p>
            <w:pPr>
              <w:pStyle w:val="单元格样式2"/>
            </w:pPr>
            <w:r>
              <w:t xml:space="preserve">政策依据</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公共服务水平提升情况</w:t>
            </w:r>
          </w:p>
        </w:tc>
        <w:tc>
          <w:tcPr>
            <w:tcW w:w="5386" w:type="dxa"/>
            <w:vAlign w:val="center"/>
          </w:tcPr>
          <w:p>
            <w:pPr>
              <w:pStyle w:val="单元格样式2"/>
            </w:pPr>
            <w:r>
              <w:t xml:space="preserve">公共服务水平提升情况</w:t>
            </w:r>
          </w:p>
        </w:tc>
        <w:tc>
          <w:tcPr>
            <w:tcW w:w="2268" w:type="dxa"/>
            <w:vAlign w:val="center"/>
          </w:tcPr>
          <w:p>
            <w:pPr>
              <w:pStyle w:val="单元格样式2"/>
            </w:pPr>
            <w:r>
              <w:t xml:space="preserve">≥80百分比</w:t>
            </w:r>
          </w:p>
        </w:tc>
        <w:tc>
          <w:tcPr>
            <w:tcW w:w="1276" w:type="dxa"/>
            <w:vAlign w:val="center"/>
          </w:tcPr>
          <w:p>
            <w:pPr>
              <w:pStyle w:val="单元格样式2"/>
            </w:pPr>
            <w:r>
              <w:t xml:space="preserve">政策依据</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≥80百分比</w:t>
            </w:r>
          </w:p>
        </w:tc>
        <w:tc>
          <w:tcPr>
            <w:tcW w:w="1276" w:type="dxa"/>
            <w:vAlign w:val="center"/>
          </w:tcPr>
          <w:p>
            <w:pPr>
              <w:pStyle w:val="单元格样式2"/>
            </w:pPr>
            <w:r>
              <w:t xml:space="preserve">政策依据</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维护社会稳定</w:t>
            </w:r>
          </w:p>
        </w:tc>
        <w:tc>
          <w:tcPr>
            <w:tcW w:w="5386" w:type="dxa"/>
            <w:vAlign w:val="center"/>
          </w:tcPr>
          <w:p>
            <w:pPr>
              <w:pStyle w:val="单元格样式2"/>
            </w:pPr>
            <w:r>
              <w:t xml:space="preserve">维护社会稳定</w:t>
            </w:r>
          </w:p>
        </w:tc>
        <w:tc>
          <w:tcPr>
            <w:tcW w:w="2268" w:type="dxa"/>
            <w:vAlign w:val="center"/>
          </w:tcPr>
          <w:p>
            <w:pPr>
              <w:pStyle w:val="单元格样式2"/>
            </w:pPr>
            <w:r>
              <w:t xml:space="preserve">≥80百分比</w:t>
            </w:r>
          </w:p>
        </w:tc>
        <w:tc>
          <w:tcPr>
            <w:tcW w:w="1276" w:type="dxa"/>
            <w:vAlign w:val="center"/>
          </w:tcPr>
          <w:p>
            <w:pPr>
              <w:pStyle w:val="单元格样式2"/>
            </w:pPr>
            <w:r>
              <w:t xml:space="preserve">政策依据</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≥80百分比</w:t>
            </w:r>
          </w:p>
        </w:tc>
        <w:tc>
          <w:tcPr>
            <w:tcW w:w="1276" w:type="dxa"/>
            <w:vAlign w:val="center"/>
          </w:tcPr>
          <w:p>
            <w:pPr>
              <w:pStyle w:val="单元格样式2"/>
            </w:pPr>
            <w:r>
              <w:t xml:space="preserve">政策依据</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b/>
          <w:color w:val="000000"/>
          <w:sz w:val="28"/>
        </w:rPr>
        <w:t xml:space="preserve">4、营区维护费绩效目标表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13012825P000280100015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营区维护费</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营区维护资金，营区开展工作，日常维护。</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4.00</w:t>
            </w:r>
          </w:p>
        </w:tc>
        <w:tc>
          <w:tcPr>
            <w:tcW w:w="2835" w:type="dxa"/>
            <w:vAlign w:val="center"/>
          </w:tcPr>
          <w:p>
            <w:pPr>
              <w:pStyle w:val="单元格样式3"/>
            </w:pPr>
            <w:r>
              <w:t xml:space="preserve">8.00</w:t>
            </w:r>
          </w:p>
        </w:tc>
        <w:tc>
          <w:tcPr>
            <w:tcW w:w="2551" w:type="dxa"/>
            <w:vAlign w:val="center"/>
          </w:tcPr>
          <w:p>
            <w:pPr>
              <w:pStyle w:val="单元格样式3"/>
            </w:pPr>
            <w:r>
              <w:t xml:space="preserve">8.00</w:t>
            </w:r>
          </w:p>
        </w:tc>
        <w:tc>
          <w:tcPr>
            <w:tcW w:w="3544" w:type="dxa"/>
            <w:gridSpan w:val="2"/>
            <w:vAlign w:val="center"/>
          </w:tcPr>
          <w:p>
            <w:pPr>
              <w:pStyle w:val="单元格样式3"/>
            </w:pPr>
            <w:r>
              <w:t xml:space="preserve">8.00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1.营区维护资金，营区开展工作，日常维护。</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数据整理完成率</w:t>
            </w:r>
          </w:p>
        </w:tc>
        <w:tc>
          <w:tcPr>
            <w:tcW w:w="5386" w:type="dxa"/>
            <w:vAlign w:val="center"/>
          </w:tcPr>
          <w:p>
            <w:pPr>
              <w:pStyle w:val="单元格样式2"/>
            </w:pPr>
            <w:r>
              <w:t xml:space="preserve">数据整理完成率</w:t>
            </w:r>
          </w:p>
        </w:tc>
        <w:tc>
          <w:tcPr>
            <w:tcW w:w="2268" w:type="dxa"/>
            <w:vAlign w:val="center"/>
          </w:tcPr>
          <w:p>
            <w:pPr>
              <w:pStyle w:val="单元格样式2"/>
            </w:pPr>
            <w:r>
              <w:t xml:space="preserve">≥80百分比</w:t>
            </w:r>
          </w:p>
        </w:tc>
        <w:tc>
          <w:tcPr>
            <w:tcW w:w="1276" w:type="dxa"/>
            <w:vAlign w:val="center"/>
          </w:tcPr>
          <w:p>
            <w:pPr>
              <w:pStyle w:val="单元格样式2"/>
            </w:pPr>
            <w:r>
              <w:t xml:space="preserve">政策依据</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正常运转率</w:t>
            </w:r>
          </w:p>
        </w:tc>
        <w:tc>
          <w:tcPr>
            <w:tcW w:w="5386" w:type="dxa"/>
            <w:vAlign w:val="center"/>
          </w:tcPr>
          <w:p>
            <w:pPr>
              <w:pStyle w:val="单元格样式2"/>
            </w:pPr>
            <w:r>
              <w:t xml:space="preserve">正常运转率</w:t>
            </w:r>
          </w:p>
        </w:tc>
        <w:tc>
          <w:tcPr>
            <w:tcW w:w="2268" w:type="dxa"/>
            <w:vAlign w:val="center"/>
          </w:tcPr>
          <w:p>
            <w:pPr>
              <w:pStyle w:val="单元格样式2"/>
            </w:pPr>
            <w:r>
              <w:t xml:space="preserve">≥80百分比</w:t>
            </w:r>
          </w:p>
        </w:tc>
        <w:tc>
          <w:tcPr>
            <w:tcW w:w="1276" w:type="dxa"/>
            <w:vAlign w:val="center"/>
          </w:tcPr>
          <w:p>
            <w:pPr>
              <w:pStyle w:val="单元格样式2"/>
            </w:pPr>
            <w:r>
              <w:t xml:space="preserve">政策依据</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完工及时率</w:t>
            </w:r>
          </w:p>
        </w:tc>
        <w:tc>
          <w:tcPr>
            <w:tcW w:w="2268" w:type="dxa"/>
            <w:vAlign w:val="center"/>
          </w:tcPr>
          <w:p>
            <w:pPr>
              <w:pStyle w:val="单元格样式2"/>
            </w:pPr>
            <w:r>
              <w:t xml:space="preserve">≥80百分比</w:t>
            </w:r>
          </w:p>
        </w:tc>
        <w:tc>
          <w:tcPr>
            <w:tcW w:w="1276" w:type="dxa"/>
            <w:vAlign w:val="center"/>
          </w:tcPr>
          <w:p>
            <w:pPr>
              <w:pStyle w:val="单元格样式2"/>
            </w:pPr>
            <w:r>
              <w:t xml:space="preserve">政策依据</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≥80百分比</w:t>
            </w:r>
          </w:p>
        </w:tc>
        <w:tc>
          <w:tcPr>
            <w:tcW w:w="1276" w:type="dxa"/>
            <w:vAlign w:val="center"/>
          </w:tcPr>
          <w:p>
            <w:pPr>
              <w:pStyle w:val="单元格样式2"/>
            </w:pPr>
            <w:r>
              <w:t xml:space="preserve">政策依据</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提高效率</w:t>
            </w:r>
          </w:p>
        </w:tc>
        <w:tc>
          <w:tcPr>
            <w:tcW w:w="5386" w:type="dxa"/>
            <w:vAlign w:val="center"/>
          </w:tcPr>
          <w:p>
            <w:pPr>
              <w:pStyle w:val="单元格样式2"/>
            </w:pPr>
            <w:r>
              <w:t xml:space="preserve">提高效率</w:t>
            </w:r>
          </w:p>
        </w:tc>
        <w:tc>
          <w:tcPr>
            <w:tcW w:w="2268" w:type="dxa"/>
            <w:vAlign w:val="center"/>
          </w:tcPr>
          <w:p>
            <w:pPr>
              <w:pStyle w:val="单元格样式2"/>
            </w:pPr>
            <w:r>
              <w:t xml:space="preserve">≥80百分比</w:t>
            </w:r>
          </w:p>
        </w:tc>
        <w:tc>
          <w:tcPr>
            <w:tcW w:w="1276" w:type="dxa"/>
            <w:vAlign w:val="center"/>
          </w:tcPr>
          <w:p>
            <w:pPr>
              <w:pStyle w:val="单元格样式2"/>
            </w:pPr>
            <w:r>
              <w:t xml:space="preserve">政策依据</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公共服务水平提升情况</w:t>
            </w:r>
          </w:p>
        </w:tc>
        <w:tc>
          <w:tcPr>
            <w:tcW w:w="5386" w:type="dxa"/>
            <w:vAlign w:val="center"/>
          </w:tcPr>
          <w:p>
            <w:pPr>
              <w:pStyle w:val="单元格样式2"/>
            </w:pPr>
            <w:r>
              <w:t xml:space="preserve">公共服务水平提升情况</w:t>
            </w:r>
          </w:p>
        </w:tc>
        <w:tc>
          <w:tcPr>
            <w:tcW w:w="2268" w:type="dxa"/>
            <w:vAlign w:val="center"/>
          </w:tcPr>
          <w:p>
            <w:pPr>
              <w:pStyle w:val="单元格样式2"/>
            </w:pPr>
            <w:r>
              <w:t xml:space="preserve">≥80百分比</w:t>
            </w:r>
          </w:p>
        </w:tc>
        <w:tc>
          <w:tcPr>
            <w:tcW w:w="1276" w:type="dxa"/>
            <w:vAlign w:val="center"/>
          </w:tcPr>
          <w:p>
            <w:pPr>
              <w:pStyle w:val="单元格样式2"/>
            </w:pPr>
            <w:r>
              <w:t xml:space="preserve">政策依据</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≥80百分比</w:t>
            </w:r>
          </w:p>
        </w:tc>
        <w:tc>
          <w:tcPr>
            <w:tcW w:w="1276" w:type="dxa"/>
            <w:vAlign w:val="center"/>
          </w:tcPr>
          <w:p>
            <w:pPr>
              <w:pStyle w:val="单元格样式2"/>
            </w:pPr>
            <w:r>
              <w:t xml:space="preserve">政策依据</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维护社会稳定</w:t>
            </w:r>
          </w:p>
        </w:tc>
        <w:tc>
          <w:tcPr>
            <w:tcW w:w="5386" w:type="dxa"/>
            <w:vAlign w:val="center"/>
          </w:tcPr>
          <w:p>
            <w:pPr>
              <w:pStyle w:val="单元格样式2"/>
            </w:pPr>
            <w:r>
              <w:t xml:space="preserve">维护社会稳定</w:t>
            </w:r>
          </w:p>
        </w:tc>
        <w:tc>
          <w:tcPr>
            <w:tcW w:w="2268" w:type="dxa"/>
            <w:vAlign w:val="center"/>
          </w:tcPr>
          <w:p>
            <w:pPr>
              <w:pStyle w:val="单元格样式2"/>
            </w:pPr>
            <w:r>
              <w:t xml:space="preserve">≥80百分比</w:t>
            </w:r>
          </w:p>
        </w:tc>
        <w:tc>
          <w:tcPr>
            <w:tcW w:w="1276" w:type="dxa"/>
            <w:vAlign w:val="center"/>
          </w:tcPr>
          <w:p>
            <w:pPr>
              <w:pStyle w:val="单元格样式2"/>
            </w:pPr>
            <w:r>
              <w:t xml:space="preserve">政策依据</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≥80百分比</w:t>
            </w:r>
          </w:p>
        </w:tc>
        <w:tc>
          <w:tcPr>
            <w:tcW w:w="1276" w:type="dxa"/>
            <w:vAlign w:val="center"/>
          </w:tcPr>
          <w:p>
            <w:pPr>
              <w:pStyle w:val="单元格样式2"/>
            </w:pPr>
            <w:r>
              <w:t xml:space="preserve">政策依据</w:t>
            </w:r>
          </w:p>
        </w:tc>
      </w:tr>
    </w:tbl>
    <w:p>
      <w:pPr>
        <w:sectPr>
          <w:type w:val="nextPage"/>
          <w:pgSz w:w="16840" w:h="11900" w:orient="landscape"/>
          <w:pgMar w:top="1361" w:right="1020" w:bottom="1134" w:left="1020" w:header="720" w:footer="720" w:gutter="0"/>
          <w:pgBorders/>
        </w:sectPr>
      </w:pPr>
    </w:p>
    <w:p>
      <w:pPr>
        <w:spacing w:before="10" w:after="10" w:line="240"/>
        <w:ind w:firstLine="640"/>
        <w:jc w:val="left"/>
        <w:outlineLvl w:val="5"/>
      </w:pPr>
      <w:r>
        <w:rPr>
          <w:rFonts w:ascii="黑体" w:eastAsia="黑体" w:hAnsi="黑体" w:cs="黑体"/>
          <w:color w:val="000000"/>
          <w:sz w:val="32"/>
        </w:rPr>
        <w:t xml:space="preserve">六、政府采购预算情况</w:t>
      </w:r>
    </w:p>
    <w:p>
      <w:pPr>
        <w:spacing w:before="0" w:after="0" w:line="240"/>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trPr>
          <w:cantSplit/>
          <w:trHeight w:hRule="auto" w:val="0"/>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302001深泽县民兵训练基地本级</w:t>
            </w:r>
          </w:p>
        </w:tc>
        <w:tc>
          <w:tcPr>
            <w:tcW w:w="7712" w:type="dxa"/>
            <w:gridSpan w:val="8"/>
            <w:tcBorders>
              <w:top w:val="single" w:sz="6" w:space="0" w:color="FFFFFF"/>
              <w:left w:val="single" w:sz="6" w:space="0" w:color="FFFFFF"/>
              <w:right w:val="single" w:sz="6" w:space="0" w:color="FFFFFF"/>
            </w:tcBorders>
            <w:vAlign w:val="center"/>
          </w:tcPr>
          <w:p>
            <w:pPr>
              <w:pStyle w:val="单元格样式23"/>
            </w:pPr>
            <w:r>
              <w:t xml:space="preserve">单位：万元</w:t>
            </w:r>
          </w:p>
        </w:tc>
      </w:tr>
      <w:tr>
        <w:trPr>
          <w:cantSplit/>
          <w:trHeight w:hRule="auto" w:val="0"/>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6748" w:type="dxa"/>
            <w:gridSpan w:val="7"/>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2025年  预留中  小微企  业份额</w:t>
            </w:r>
          </w:p>
        </w:tc>
      </w:tr>
      <w:tr>
        <w:trPr>
          <w:cantSplit/>
          <w:trHeight w:hRule="auto" w:val="0"/>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pPr/>
          </w:p>
        </w:tc>
        <w:tc>
          <w:tcPr>
            <w:tcW w:w="1134" w:type="dxa"/>
            <w:vMerge/>
          </w:tcPr>
          <w:p>
            <w:pPr/>
          </w:p>
        </w:tc>
        <w:tc>
          <w:tcPr>
            <w:tcW w:w="709" w:type="dxa"/>
            <w:vMerge/>
          </w:tcPr>
          <w:p>
            <w:pPr/>
          </w:p>
        </w:tc>
        <w:tc>
          <w:tcPr>
            <w:tcW w:w="850" w:type="dxa"/>
            <w:vMerge/>
          </w:tcPr>
          <w:p>
            <w:pPr/>
          </w:p>
        </w:tc>
        <w:tc>
          <w:tcPr>
            <w:tcW w:w="850" w:type="dxa"/>
            <w:vMerge/>
          </w:tcPr>
          <w:p>
            <w:p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上年结转结余</w:t>
            </w:r>
          </w:p>
        </w:tc>
        <w:tc>
          <w:tcPr>
            <w:tcW w:w="964" w:type="dxa"/>
            <w:vMerge/>
          </w:tcPr>
          <w:p>
            <w:pPr/>
          </w:p>
        </w:tc>
      </w:tr>
      <w:tr>
        <w:trPr>
          <w:cantSplit/>
          <w:trHeight w:hRule="auto" w:val="0"/>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深泽县民兵训练基地本级上年末固定资产金额为445.73万元（详见下表）。本年度拟购置固定资产总额为0.00万元，已按要求列入政府采购预算，详见政府采购预算表。</w:t>
      </w:r>
    </w:p>
    <w:p>
      <w:pPr>
        <w:spacing w:before="0" w:after="0" w:line="240"/>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7370"/>
        <w:gridCol w:w="2835"/>
        <w:gridCol w:w="2835"/>
      </w:tblGrid>
      <w:tr>
        <w:trPr>
          <w:trHeight w:hRule="auto"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302001深泽县民兵训练基地本级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截止时间：2024-12-31</w:t>
            </w:r>
          </w:p>
        </w:tc>
      </w:tr>
      <w:tr>
        <w:trPr>
          <w:trHeight w:hRule="auto" w:val="0"/>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rPr>
          <w:trHeight w:hRule="auto" w:val="0"/>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445.73</w:t>
            </w:r>
          </w:p>
        </w:tc>
      </w:tr>
      <w:tr>
        <w:trPr>
          <w:trHeight w:hRule="auto" w:val="0"/>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1106</w:t>
            </w:r>
          </w:p>
        </w:tc>
        <w:tc>
          <w:tcPr>
            <w:tcW w:w="2835" w:type="dxa"/>
            <w:vAlign w:val="center"/>
          </w:tcPr>
          <w:p>
            <w:pPr>
              <w:pStyle w:val="单元格样式4"/>
            </w:pPr>
            <w:r>
              <w:t xml:space="preserve">118.76</w:t>
            </w:r>
          </w:p>
        </w:tc>
      </w:tr>
      <w:tr>
        <w:trPr>
          <w:trHeight w:hRule="auto" w:val="0"/>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300</w:t>
            </w:r>
          </w:p>
        </w:tc>
        <w:tc>
          <w:tcPr>
            <w:tcW w:w="2835" w:type="dxa"/>
            <w:vAlign w:val="center"/>
          </w:tcPr>
          <w:p>
            <w:pPr>
              <w:pStyle w:val="单元格样式4"/>
            </w:pPr>
            <w:r>
              <w:t xml:space="preserve">34.50</w:t>
            </w:r>
          </w:p>
        </w:tc>
      </w:tr>
      <w:tr>
        <w:trPr>
          <w:trHeight w:hRule="auto" w:val="0"/>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rPr>
          <w:trHeight w:hRule="auto" w:val="0"/>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rPr>
          <w:trHeight w:hRule="auto" w:val="0"/>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71</w:t>
            </w:r>
          </w:p>
        </w:tc>
        <w:tc>
          <w:tcPr>
            <w:tcW w:w="2835" w:type="dxa"/>
            <w:vAlign w:val="center"/>
          </w:tcPr>
          <w:p>
            <w:pPr>
              <w:pStyle w:val="单元格样式4"/>
            </w:pPr>
            <w:r>
              <w:t xml:space="preserve">326.97</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pgBorders/>
    </w:sectPr>
  </w:body>
</w:document>
</file>

<file path=word/footer1.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pc="http://schemas.microsoft.com/office/word/2010/wordprocessingCanvas" xmlns:w="http://schemas.openxmlformats.org/wordprocessingml/2006/main">
  <w:p>
    <w:pPr>
      <w:jc w:val="left"/>
    </w:pPr>
    <w:r>
      <w:fldChar w:fldCharType="begin"/>
    </w:r>
    <w:r>
      <w:instrText xml:space="preserve">PAGE "page number"</w:instrText>
    </w:r>
    <w:r>
      <w:fldChar w:fldCharType="separate"/>
    </w:r>
    <w:r>
      <w:t xml:space="preserve">22</w:t>
    </w:r>
    <w:r>
      <w:fldChar w:fldCharType="end"/>
    </w:r>
  </w:p>
</w:ftr>
</file>

<file path=word/footer2.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pc="http://schemas.microsoft.com/office/word/2010/wordprocessingCanvas" xmlns:w="http://schemas.openxmlformats.org/wordprocessingml/2006/main">
  <w:p>
    <w:pPr>
      <w:jc w:val="right"/>
    </w:pPr>
    <w:r>
      <w:fldChar w:fldCharType="begin"/>
    </w:r>
    <w:r>
      <w:instrText xml:space="preserve">PAGE "page number"</w:instrText>
    </w:r>
    <w:r>
      <w:fldChar w:fldCharType="separate"/>
    </w:r>
    <w:r>
      <w:t xml:space="preserve">21</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sl="http://schemas.openxmlformats.org/schemaLibrary/2006/main" xmlns:w="http://schemas.openxmlformats.org/wordprocessingml/2006/main">
  <w:zoom w:percent="100"/>
  <w:bordersDoNotSurroundFooter w:val="0"/>
  <w:bordersDoNotSurroundHeader w:val="0"/>
  <w:doNotTrackMoves/>
  <w:defaultTabStop w:val="720"/>
  <w:evenAndOddHeaders/>
  <w:characterSpacingControl w:val="doNotCompress"/>
  <w:compat>
    <w:doNotLeaveBackslashAlone/>
    <w:doNotExpandShiftReturn/>
    <w:adjustLineHeightInTable/>
    <w:useFELayout/>
    <w:compatSetting w:name="compatibilityMode" w:uri="http://schemas.microsoft.com/office/word" w:val="12"/>
  </w:compat>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eastAsia="Times New Roman" w:hAnsi="Times New Roman"/>
      <w:sz w:val="24"/>
      <w:szCs w:val="24"/>
      <w:lang w:val="en-US" w:eastAsia="uk-UA" w:bidi="ar-SA"/>
    </w:rPr>
  </w:style>
  <w:style w:type="character" w:default="1" w:styleId="DefaultParagraphFont">
    <w:name w:val="Default Paragraph Font"/>
    <w:uiPriority w:val="1"/>
    <w:semiHidden/>
    <w:unhideWhenUsed/>
    <w:rPr/>
  </w:style>
  <w:style w:type="table" w:default="1" w:styleId="NormalTable">
    <w:name w:val="Normal Table"/>
    <w:uiPriority w:val="99"/>
    <w:semiHidden/>
    <w:unhideWhenUsed/>
    <w:qFormat/>
    <w:rPr/>
    <w:tblPr>
      <w:tblInd w:w="0" w:type="dxa"/>
      <w:tblCellMar>
        <w:top w:w="0" w:type="dxa"/>
        <w:left w:w="108" w:type="dxa"/>
        <w:bottom w:w="0" w:type="dxa"/>
        <w:right w:w="108" w:type="dxa"/>
      </w:tblCellMar>
    </w:tblPr>
  </w:style>
  <w:style w:type="numbering" w:default="1" w:styleId="NoList">
    <w:name w:val="No List"/>
    <w:uiPriority w:val="99"/>
    <w:semiHidden/>
    <w:unhideWhenUsed/>
    <w:rPr/>
  </w:style>
  <w:style w:type="table" w:styleId="TableGrid">
    <w:name w:val="Table Grid"/>
    <w:basedOn w:val="NormalTabl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r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footer" Target="footer1.xml" /><Relationship Id="rId2" Type="http://schemas.openxmlformats.org/officeDocument/2006/relationships/footer" Target="footer2.xml" /><Relationship Id="rId3" Type="http://schemas.openxmlformats.org/officeDocument/2006/relationships/styles" Target="styles.xml" /><Relationship Id="rId4" Type="http://schemas.openxmlformats.org/officeDocument/2006/relationships/webSettings" Target="webSettings.xml" /><Relationship Id="rId5" Type="http://schemas.openxmlformats.org/officeDocument/2006/relationships/settings" Target="settings.xml" /></Relationships>
</file>

<file path=docProps/app.xml><?xml version="1.0" encoding="utf-8"?>
<Properties xmlns:vt="http://schemas.openxmlformats.org/officeDocument/2006/docPropsVTypes" xmlns="http://schemas.openxmlformats.org/officeDocument/2006/extended-properties">
  <Pages>24</Pages>
  <Application>Spire.Doc</Application>
  <DocSecurity>0</DocSecurity>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2025-02-10T16:48:43Z</dcterms:created>
  <dcterms:modified xsi:type="dcterms:W3CDTF">2025-02-10T16:48:43Z</dcterms:modified>
</cp:coreProperties>
</file>