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深泽县机关事务管理局</w:t>
      </w: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keepNext w:val="0"/>
        <w:keepLines w:val="0"/>
        <w:pageBreakBefore w:val="0"/>
        <w:widowControl/>
        <w:numPr>
          <w:ilvl w:val="0"/>
          <w:numId w:val="1"/>
        </w:numPr>
        <w:tabs>
          <w:tab w:val="right" w:leader="dot" w:pos="14562"/>
        </w:tabs>
        <w:kinsoku/>
        <w:wordWrap/>
        <w:overflowPunct/>
        <w:topLinePunct w:val="0"/>
        <w:autoSpaceDE/>
        <w:autoSpaceDN/>
        <w:bidi w:val="0"/>
        <w:adjustRightInd/>
        <w:snapToGrid/>
        <w:ind w:left="0" w:leftChars="0" w:firstLine="42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深泽县机关事务管理局</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TOC \o "2-2" \h \z \u</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"_Toc_2_2_0000000001"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收支</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PAGEREF _Toc_2_2_0000000001 \h</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fldChar w:fldCharType="end"/>
      </w:r>
      <w:bookmarkStart w:id="0" w:name="_Toc_4_4_0000000019"/>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sectPr>
          <w:pgSz w:w="16840" w:h="11900" w:orient="landscape"/>
          <w:pgMar w:top="1587" w:right="1134" w:bottom="1361" w:left="1134" w:header="720" w:footer="720" w:gutter="0"/>
          <w:pgNumType w:start="1"/>
          <w:cols w:space="720" w:num="1"/>
        </w:sectPr>
      </w:pPr>
    </w:p>
    <w:p>
      <w:pPr>
        <w:jc w:val="center"/>
        <w:outlineLvl w:val="3"/>
      </w:pPr>
      <w:r>
        <w:rPr>
          <w:rFonts w:ascii="方正小标宋_GBK" w:hAnsi="方正小标宋_GBK" w:eastAsia="方正小标宋_GBK" w:cs="方正小标宋_GBK"/>
          <w:color w:val="000000"/>
          <w:sz w:val="44"/>
        </w:rPr>
        <w:t>一、深泽县机关事务管理局本级收支预算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1425.76</w:t>
            </w:r>
          </w:p>
        </w:tc>
        <w:tc>
          <w:tcPr>
            <w:tcW w:w="4535" w:type="dxa"/>
            <w:vAlign w:val="center"/>
          </w:tcPr>
          <w:p>
            <w:pPr>
              <w:pStyle w:val="14"/>
            </w:pPr>
            <w:r>
              <w:t>一、一般公共服务支出</w:t>
            </w:r>
          </w:p>
        </w:tc>
        <w:tc>
          <w:tcPr>
            <w:tcW w:w="2126" w:type="dxa"/>
            <w:vAlign w:val="center"/>
          </w:tcPr>
          <w:p>
            <w:pPr>
              <w:pStyle w:val="13"/>
            </w:pPr>
            <w:r>
              <w:t>1425.76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1425.76</w:t>
            </w:r>
          </w:p>
        </w:tc>
        <w:tc>
          <w:tcPr>
            <w:tcW w:w="4535" w:type="dxa"/>
            <w:vAlign w:val="center"/>
          </w:tcPr>
          <w:p>
            <w:pPr>
              <w:pStyle w:val="16"/>
            </w:pPr>
            <w:r>
              <w:t>本年支出合计</w:t>
            </w:r>
          </w:p>
        </w:tc>
        <w:tc>
          <w:tcPr>
            <w:tcW w:w="2126" w:type="dxa"/>
            <w:vAlign w:val="center"/>
          </w:tcPr>
          <w:p>
            <w:pPr>
              <w:pStyle w:val="17"/>
            </w:pPr>
            <w:r>
              <w:t>1425.76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1425.76</w:t>
            </w:r>
          </w:p>
        </w:tc>
        <w:tc>
          <w:tcPr>
            <w:tcW w:w="4535" w:type="dxa"/>
            <w:vAlign w:val="center"/>
          </w:tcPr>
          <w:p>
            <w:pPr>
              <w:pStyle w:val="16"/>
            </w:pPr>
            <w:r>
              <w:t>支出总计</w:t>
            </w:r>
          </w:p>
        </w:tc>
        <w:tc>
          <w:tcPr>
            <w:tcW w:w="2126" w:type="dxa"/>
            <w:vAlign w:val="center"/>
          </w:tcPr>
          <w:p>
            <w:pPr>
              <w:pStyle w:val="17"/>
            </w:pPr>
            <w:r>
              <w:t>1425.76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1425.76</w:t>
            </w:r>
          </w:p>
        </w:tc>
        <w:tc>
          <w:tcPr>
            <w:tcW w:w="1134" w:type="dxa"/>
            <w:vAlign w:val="center"/>
          </w:tcPr>
          <w:p>
            <w:pPr>
              <w:pStyle w:val="17"/>
            </w:pPr>
            <w:r>
              <w:t>1425.76</w:t>
            </w:r>
          </w:p>
        </w:tc>
        <w:tc>
          <w:tcPr>
            <w:tcW w:w="1134" w:type="dxa"/>
            <w:vAlign w:val="center"/>
          </w:tcPr>
          <w:p>
            <w:pPr>
              <w:pStyle w:val="17"/>
            </w:pPr>
            <w:r>
              <w:t>1425.76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1425.76</w:t>
            </w:r>
          </w:p>
        </w:tc>
        <w:tc>
          <w:tcPr>
            <w:tcW w:w="1134" w:type="dxa"/>
            <w:vAlign w:val="center"/>
          </w:tcPr>
          <w:p>
            <w:pPr>
              <w:pStyle w:val="13"/>
            </w:pPr>
            <w:r>
              <w:t>1425.76</w:t>
            </w:r>
          </w:p>
        </w:tc>
        <w:tc>
          <w:tcPr>
            <w:tcW w:w="1134" w:type="dxa"/>
            <w:vAlign w:val="center"/>
          </w:tcPr>
          <w:p>
            <w:pPr>
              <w:pStyle w:val="13"/>
            </w:pPr>
            <w:r>
              <w:t>1425.76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1425.76</w:t>
            </w:r>
          </w:p>
        </w:tc>
        <w:tc>
          <w:tcPr>
            <w:tcW w:w="1134" w:type="dxa"/>
            <w:vAlign w:val="center"/>
          </w:tcPr>
          <w:p>
            <w:pPr>
              <w:pStyle w:val="13"/>
            </w:pPr>
            <w:r>
              <w:t>1425.76</w:t>
            </w:r>
          </w:p>
        </w:tc>
        <w:tc>
          <w:tcPr>
            <w:tcW w:w="1134" w:type="dxa"/>
            <w:vAlign w:val="center"/>
          </w:tcPr>
          <w:p>
            <w:pPr>
              <w:pStyle w:val="13"/>
            </w:pPr>
            <w:r>
              <w:t>1425.76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307.75</w:t>
            </w:r>
          </w:p>
        </w:tc>
        <w:tc>
          <w:tcPr>
            <w:tcW w:w="1134" w:type="dxa"/>
            <w:vAlign w:val="center"/>
          </w:tcPr>
          <w:p>
            <w:pPr>
              <w:pStyle w:val="13"/>
            </w:pPr>
            <w:r>
              <w:t>307.75</w:t>
            </w:r>
          </w:p>
        </w:tc>
        <w:tc>
          <w:tcPr>
            <w:tcW w:w="1134" w:type="dxa"/>
            <w:vAlign w:val="center"/>
          </w:tcPr>
          <w:p>
            <w:pPr>
              <w:pStyle w:val="13"/>
            </w:pPr>
            <w:r>
              <w:t>307.75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2010399</w:t>
            </w:r>
          </w:p>
        </w:tc>
        <w:tc>
          <w:tcPr>
            <w:tcW w:w="1559" w:type="dxa"/>
            <w:vAlign w:val="center"/>
          </w:tcPr>
          <w:p>
            <w:pPr>
              <w:pStyle w:val="14"/>
            </w:pPr>
            <w:r>
              <w:t>其他政府办公厅（室）及相关机构事务支出</w:t>
            </w:r>
          </w:p>
        </w:tc>
        <w:tc>
          <w:tcPr>
            <w:tcW w:w="1134" w:type="dxa"/>
            <w:vAlign w:val="center"/>
          </w:tcPr>
          <w:p>
            <w:pPr>
              <w:pStyle w:val="13"/>
            </w:pPr>
            <w:r>
              <w:t>1118.01</w:t>
            </w:r>
          </w:p>
        </w:tc>
        <w:tc>
          <w:tcPr>
            <w:tcW w:w="1134" w:type="dxa"/>
            <w:vAlign w:val="center"/>
          </w:tcPr>
          <w:p>
            <w:pPr>
              <w:pStyle w:val="13"/>
            </w:pPr>
            <w:r>
              <w:t>1118.01</w:t>
            </w:r>
          </w:p>
        </w:tc>
        <w:tc>
          <w:tcPr>
            <w:tcW w:w="1134" w:type="dxa"/>
            <w:vAlign w:val="center"/>
          </w:tcPr>
          <w:p>
            <w:pPr>
              <w:pStyle w:val="13"/>
            </w:pPr>
            <w:r>
              <w:t>1118.01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1425.76</w:t>
            </w:r>
          </w:p>
        </w:tc>
        <w:tc>
          <w:tcPr>
            <w:tcW w:w="1361" w:type="dxa"/>
            <w:vAlign w:val="center"/>
          </w:tcPr>
          <w:p>
            <w:pPr>
              <w:pStyle w:val="17"/>
            </w:pPr>
            <w:r>
              <w:t>307.75</w:t>
            </w:r>
          </w:p>
        </w:tc>
        <w:tc>
          <w:tcPr>
            <w:tcW w:w="1361" w:type="dxa"/>
            <w:vAlign w:val="center"/>
          </w:tcPr>
          <w:p>
            <w:pPr>
              <w:pStyle w:val="17"/>
            </w:pPr>
            <w:r>
              <w:t>1118.01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1425.76</w:t>
            </w:r>
          </w:p>
        </w:tc>
        <w:tc>
          <w:tcPr>
            <w:tcW w:w="1361" w:type="dxa"/>
            <w:vAlign w:val="center"/>
          </w:tcPr>
          <w:p>
            <w:pPr>
              <w:pStyle w:val="13"/>
            </w:pPr>
            <w:r>
              <w:t>307.75</w:t>
            </w:r>
          </w:p>
        </w:tc>
        <w:tc>
          <w:tcPr>
            <w:tcW w:w="1361" w:type="dxa"/>
            <w:vAlign w:val="center"/>
          </w:tcPr>
          <w:p>
            <w:pPr>
              <w:pStyle w:val="13"/>
            </w:pPr>
            <w:r>
              <w:t>1118.01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6" w:type="dxa"/>
            <w:vAlign w:val="center"/>
          </w:tcPr>
          <w:p>
            <w:pPr>
              <w:pStyle w:val="14"/>
            </w:pPr>
            <w:r>
              <w:t>政府办公厅（室）及相关机构事务</w:t>
            </w:r>
          </w:p>
        </w:tc>
        <w:tc>
          <w:tcPr>
            <w:tcW w:w="1361" w:type="dxa"/>
            <w:vAlign w:val="center"/>
          </w:tcPr>
          <w:p>
            <w:pPr>
              <w:pStyle w:val="13"/>
            </w:pPr>
            <w:r>
              <w:t>1425.76</w:t>
            </w:r>
          </w:p>
        </w:tc>
        <w:tc>
          <w:tcPr>
            <w:tcW w:w="1361" w:type="dxa"/>
            <w:vAlign w:val="center"/>
          </w:tcPr>
          <w:p>
            <w:pPr>
              <w:pStyle w:val="13"/>
            </w:pPr>
            <w:r>
              <w:t>307.75</w:t>
            </w:r>
          </w:p>
        </w:tc>
        <w:tc>
          <w:tcPr>
            <w:tcW w:w="1361" w:type="dxa"/>
            <w:vAlign w:val="center"/>
          </w:tcPr>
          <w:p>
            <w:pPr>
              <w:pStyle w:val="13"/>
            </w:pPr>
            <w:r>
              <w:t>1118.01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6" w:type="dxa"/>
            <w:vAlign w:val="center"/>
          </w:tcPr>
          <w:p>
            <w:pPr>
              <w:pStyle w:val="14"/>
            </w:pPr>
            <w:r>
              <w:t>行政运行</w:t>
            </w:r>
          </w:p>
        </w:tc>
        <w:tc>
          <w:tcPr>
            <w:tcW w:w="1361" w:type="dxa"/>
            <w:vAlign w:val="center"/>
          </w:tcPr>
          <w:p>
            <w:pPr>
              <w:pStyle w:val="13"/>
            </w:pPr>
            <w:r>
              <w:t>307.75</w:t>
            </w:r>
          </w:p>
        </w:tc>
        <w:tc>
          <w:tcPr>
            <w:tcW w:w="1361" w:type="dxa"/>
            <w:vAlign w:val="center"/>
          </w:tcPr>
          <w:p>
            <w:pPr>
              <w:pStyle w:val="13"/>
            </w:pPr>
            <w:r>
              <w:t>307.75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2010399</w:t>
            </w:r>
          </w:p>
        </w:tc>
        <w:tc>
          <w:tcPr>
            <w:tcW w:w="4536" w:type="dxa"/>
            <w:vAlign w:val="center"/>
          </w:tcPr>
          <w:p>
            <w:pPr>
              <w:pStyle w:val="14"/>
            </w:pPr>
            <w:r>
              <w:t>其他政府办公厅（室）及相关机构事务支出</w:t>
            </w:r>
          </w:p>
        </w:tc>
        <w:tc>
          <w:tcPr>
            <w:tcW w:w="1361" w:type="dxa"/>
            <w:vAlign w:val="center"/>
          </w:tcPr>
          <w:p>
            <w:pPr>
              <w:pStyle w:val="13"/>
            </w:pPr>
            <w:r>
              <w:t>1118.01</w:t>
            </w:r>
          </w:p>
        </w:tc>
        <w:tc>
          <w:tcPr>
            <w:tcW w:w="1361" w:type="dxa"/>
            <w:vAlign w:val="center"/>
          </w:tcPr>
          <w:p>
            <w:pPr>
              <w:pStyle w:val="13"/>
            </w:pPr>
          </w:p>
        </w:tc>
        <w:tc>
          <w:tcPr>
            <w:tcW w:w="1361" w:type="dxa"/>
            <w:vAlign w:val="center"/>
          </w:tcPr>
          <w:p>
            <w:pPr>
              <w:pStyle w:val="13"/>
            </w:pPr>
            <w:r>
              <w:t>1118.01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1425.76</w:t>
            </w:r>
          </w:p>
        </w:tc>
        <w:tc>
          <w:tcPr>
            <w:tcW w:w="3402" w:type="dxa"/>
            <w:vAlign w:val="center"/>
          </w:tcPr>
          <w:p>
            <w:pPr>
              <w:pStyle w:val="14"/>
            </w:pPr>
            <w:r>
              <w:t>一、一般公共服务支出</w:t>
            </w:r>
          </w:p>
        </w:tc>
        <w:tc>
          <w:tcPr>
            <w:tcW w:w="1474" w:type="dxa"/>
            <w:vAlign w:val="center"/>
          </w:tcPr>
          <w:p>
            <w:pPr>
              <w:pStyle w:val="13"/>
            </w:pPr>
            <w:r>
              <w:t>1425.76</w:t>
            </w:r>
          </w:p>
        </w:tc>
        <w:tc>
          <w:tcPr>
            <w:tcW w:w="1474" w:type="dxa"/>
            <w:vAlign w:val="center"/>
          </w:tcPr>
          <w:p>
            <w:pPr>
              <w:pStyle w:val="13"/>
            </w:pPr>
            <w:r>
              <w:t>1425.76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1425.76</w:t>
            </w:r>
          </w:p>
        </w:tc>
        <w:tc>
          <w:tcPr>
            <w:tcW w:w="3402" w:type="dxa"/>
            <w:vAlign w:val="center"/>
          </w:tcPr>
          <w:p>
            <w:pPr>
              <w:pStyle w:val="16"/>
            </w:pPr>
            <w:r>
              <w:t>本年支出合计</w:t>
            </w:r>
          </w:p>
        </w:tc>
        <w:tc>
          <w:tcPr>
            <w:tcW w:w="1474" w:type="dxa"/>
            <w:vAlign w:val="center"/>
          </w:tcPr>
          <w:p>
            <w:pPr>
              <w:pStyle w:val="17"/>
            </w:pPr>
            <w:r>
              <w:t>1425.76</w:t>
            </w:r>
          </w:p>
        </w:tc>
        <w:tc>
          <w:tcPr>
            <w:tcW w:w="1474" w:type="dxa"/>
            <w:vAlign w:val="center"/>
          </w:tcPr>
          <w:p>
            <w:pPr>
              <w:pStyle w:val="17"/>
            </w:pPr>
            <w:r>
              <w:t>1425.76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1425.76</w:t>
            </w:r>
          </w:p>
        </w:tc>
        <w:tc>
          <w:tcPr>
            <w:tcW w:w="3402" w:type="dxa"/>
            <w:vAlign w:val="center"/>
          </w:tcPr>
          <w:p>
            <w:pPr>
              <w:pStyle w:val="16"/>
            </w:pPr>
            <w:r>
              <w:t>支出总计</w:t>
            </w:r>
          </w:p>
        </w:tc>
        <w:tc>
          <w:tcPr>
            <w:tcW w:w="1474" w:type="dxa"/>
            <w:vAlign w:val="center"/>
          </w:tcPr>
          <w:p>
            <w:pPr>
              <w:pStyle w:val="17"/>
            </w:pPr>
            <w:r>
              <w:t>1425.76</w:t>
            </w:r>
          </w:p>
        </w:tc>
        <w:tc>
          <w:tcPr>
            <w:tcW w:w="1474" w:type="dxa"/>
            <w:vAlign w:val="center"/>
          </w:tcPr>
          <w:p>
            <w:pPr>
              <w:pStyle w:val="17"/>
            </w:pPr>
            <w:r>
              <w:t>1425.76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1425.76</w:t>
            </w:r>
          </w:p>
        </w:tc>
        <w:tc>
          <w:tcPr>
            <w:tcW w:w="2551" w:type="dxa"/>
            <w:vAlign w:val="center"/>
          </w:tcPr>
          <w:p>
            <w:pPr>
              <w:pStyle w:val="17"/>
            </w:pPr>
            <w:r>
              <w:t>307.75</w:t>
            </w:r>
          </w:p>
        </w:tc>
        <w:tc>
          <w:tcPr>
            <w:tcW w:w="2551" w:type="dxa"/>
            <w:vAlign w:val="center"/>
          </w:tcPr>
          <w:p>
            <w:pPr>
              <w:pStyle w:val="17"/>
            </w:pPr>
            <w:r>
              <w:t>1118.01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1425.76</w:t>
            </w:r>
          </w:p>
        </w:tc>
        <w:tc>
          <w:tcPr>
            <w:tcW w:w="2551" w:type="dxa"/>
            <w:vAlign w:val="center"/>
          </w:tcPr>
          <w:p>
            <w:pPr>
              <w:pStyle w:val="13"/>
            </w:pPr>
            <w:r>
              <w:t>307.75</w:t>
            </w:r>
          </w:p>
        </w:tc>
        <w:tc>
          <w:tcPr>
            <w:tcW w:w="2551" w:type="dxa"/>
            <w:vAlign w:val="center"/>
          </w:tcPr>
          <w:p>
            <w:pPr>
              <w:pStyle w:val="13"/>
            </w:pPr>
            <w:r>
              <w:t>1118.01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1425.76</w:t>
            </w:r>
          </w:p>
        </w:tc>
        <w:tc>
          <w:tcPr>
            <w:tcW w:w="2551" w:type="dxa"/>
            <w:vAlign w:val="center"/>
          </w:tcPr>
          <w:p>
            <w:pPr>
              <w:pStyle w:val="13"/>
            </w:pPr>
            <w:r>
              <w:t>307.75</w:t>
            </w:r>
          </w:p>
        </w:tc>
        <w:tc>
          <w:tcPr>
            <w:tcW w:w="2551" w:type="dxa"/>
            <w:vAlign w:val="center"/>
          </w:tcPr>
          <w:p>
            <w:pPr>
              <w:pStyle w:val="13"/>
            </w:pPr>
            <w:r>
              <w:t>1118.01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307.75</w:t>
            </w:r>
          </w:p>
        </w:tc>
        <w:tc>
          <w:tcPr>
            <w:tcW w:w="2551" w:type="dxa"/>
            <w:vAlign w:val="center"/>
          </w:tcPr>
          <w:p>
            <w:pPr>
              <w:pStyle w:val="13"/>
            </w:pPr>
            <w:r>
              <w:t>307.75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2010399</w:t>
            </w:r>
          </w:p>
        </w:tc>
        <w:tc>
          <w:tcPr>
            <w:tcW w:w="4535" w:type="dxa"/>
            <w:vAlign w:val="center"/>
          </w:tcPr>
          <w:p>
            <w:pPr>
              <w:pStyle w:val="14"/>
            </w:pPr>
            <w:r>
              <w:t>其他政府办公厅（室）及相关机构事务支出</w:t>
            </w:r>
          </w:p>
        </w:tc>
        <w:tc>
          <w:tcPr>
            <w:tcW w:w="2551" w:type="dxa"/>
            <w:vAlign w:val="center"/>
          </w:tcPr>
          <w:p>
            <w:pPr>
              <w:pStyle w:val="13"/>
            </w:pPr>
            <w:r>
              <w:t>1118.01</w:t>
            </w:r>
          </w:p>
        </w:tc>
        <w:tc>
          <w:tcPr>
            <w:tcW w:w="2551" w:type="dxa"/>
            <w:vAlign w:val="center"/>
          </w:tcPr>
          <w:p>
            <w:pPr>
              <w:pStyle w:val="13"/>
            </w:pPr>
          </w:p>
        </w:tc>
        <w:tc>
          <w:tcPr>
            <w:tcW w:w="2551" w:type="dxa"/>
            <w:vAlign w:val="center"/>
          </w:tcPr>
          <w:p>
            <w:pPr>
              <w:pStyle w:val="13"/>
            </w:pPr>
            <w:r>
              <w:t>1118.01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307.75</w:t>
            </w:r>
          </w:p>
        </w:tc>
        <w:tc>
          <w:tcPr>
            <w:tcW w:w="2551" w:type="dxa"/>
            <w:vAlign w:val="center"/>
          </w:tcPr>
          <w:p>
            <w:pPr>
              <w:pStyle w:val="17"/>
            </w:pPr>
            <w:r>
              <w:t>23.53</w:t>
            </w:r>
          </w:p>
        </w:tc>
        <w:tc>
          <w:tcPr>
            <w:tcW w:w="2552" w:type="dxa"/>
            <w:vAlign w:val="center"/>
          </w:tcPr>
          <w:p>
            <w:pPr>
              <w:pStyle w:val="17"/>
            </w:pPr>
            <w:r>
              <w:t>284.22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23.09</w:t>
            </w:r>
          </w:p>
        </w:tc>
        <w:tc>
          <w:tcPr>
            <w:tcW w:w="2551" w:type="dxa"/>
            <w:vAlign w:val="center"/>
          </w:tcPr>
          <w:p>
            <w:pPr>
              <w:pStyle w:val="13"/>
            </w:pPr>
            <w:r>
              <w:t>23.09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15.78</w:t>
            </w:r>
          </w:p>
        </w:tc>
        <w:tc>
          <w:tcPr>
            <w:tcW w:w="2551" w:type="dxa"/>
            <w:vAlign w:val="center"/>
          </w:tcPr>
          <w:p>
            <w:pPr>
              <w:pStyle w:val="13"/>
            </w:pPr>
            <w:r>
              <w:t>15.78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0.80</w:t>
            </w:r>
          </w:p>
        </w:tc>
        <w:tc>
          <w:tcPr>
            <w:tcW w:w="2551" w:type="dxa"/>
            <w:vAlign w:val="center"/>
          </w:tcPr>
          <w:p>
            <w:pPr>
              <w:pStyle w:val="13"/>
            </w:pPr>
            <w:r>
              <w:t>0.80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6.48</w:t>
            </w:r>
          </w:p>
        </w:tc>
        <w:tc>
          <w:tcPr>
            <w:tcW w:w="2551" w:type="dxa"/>
            <w:vAlign w:val="center"/>
          </w:tcPr>
          <w:p>
            <w:pPr>
              <w:pStyle w:val="13"/>
            </w:pPr>
            <w:r>
              <w:t>6.48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0.03</w:t>
            </w:r>
          </w:p>
        </w:tc>
        <w:tc>
          <w:tcPr>
            <w:tcW w:w="2551" w:type="dxa"/>
            <w:vAlign w:val="center"/>
          </w:tcPr>
          <w:p>
            <w:pPr>
              <w:pStyle w:val="13"/>
            </w:pPr>
            <w:r>
              <w:t>0.03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284.22</w:t>
            </w:r>
          </w:p>
        </w:tc>
        <w:tc>
          <w:tcPr>
            <w:tcW w:w="2551" w:type="dxa"/>
            <w:vAlign w:val="center"/>
          </w:tcPr>
          <w:p>
            <w:pPr>
              <w:pStyle w:val="13"/>
            </w:pPr>
          </w:p>
        </w:tc>
        <w:tc>
          <w:tcPr>
            <w:tcW w:w="2552" w:type="dxa"/>
            <w:vAlign w:val="center"/>
          </w:tcPr>
          <w:p>
            <w:pPr>
              <w:pStyle w:val="13"/>
            </w:pPr>
            <w:r>
              <w:t>284.22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3.30</w:t>
            </w:r>
          </w:p>
        </w:tc>
        <w:tc>
          <w:tcPr>
            <w:tcW w:w="2551" w:type="dxa"/>
            <w:vAlign w:val="center"/>
          </w:tcPr>
          <w:p>
            <w:pPr>
              <w:pStyle w:val="13"/>
            </w:pPr>
          </w:p>
        </w:tc>
        <w:tc>
          <w:tcPr>
            <w:tcW w:w="2552"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10.00</w:t>
            </w:r>
          </w:p>
        </w:tc>
        <w:tc>
          <w:tcPr>
            <w:tcW w:w="2551" w:type="dxa"/>
            <w:vAlign w:val="center"/>
          </w:tcPr>
          <w:p>
            <w:pPr>
              <w:pStyle w:val="13"/>
            </w:pPr>
          </w:p>
        </w:tc>
        <w:tc>
          <w:tcPr>
            <w:tcW w:w="2552"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105.00</w:t>
            </w:r>
          </w:p>
        </w:tc>
        <w:tc>
          <w:tcPr>
            <w:tcW w:w="2551" w:type="dxa"/>
            <w:vAlign w:val="center"/>
          </w:tcPr>
          <w:p>
            <w:pPr>
              <w:pStyle w:val="13"/>
            </w:pPr>
          </w:p>
        </w:tc>
        <w:tc>
          <w:tcPr>
            <w:tcW w:w="2552"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8.00</w:t>
            </w:r>
          </w:p>
        </w:tc>
        <w:tc>
          <w:tcPr>
            <w:tcW w:w="2551" w:type="dxa"/>
            <w:vAlign w:val="center"/>
          </w:tcPr>
          <w:p>
            <w:pPr>
              <w:pStyle w:val="13"/>
            </w:pPr>
          </w:p>
        </w:tc>
        <w:tc>
          <w:tcPr>
            <w:tcW w:w="2552"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16.00</w:t>
            </w:r>
          </w:p>
        </w:tc>
        <w:tc>
          <w:tcPr>
            <w:tcW w:w="2551" w:type="dxa"/>
            <w:vAlign w:val="center"/>
          </w:tcPr>
          <w:p>
            <w:pPr>
              <w:pStyle w:val="13"/>
            </w:pPr>
          </w:p>
        </w:tc>
        <w:tc>
          <w:tcPr>
            <w:tcW w:w="2552"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74.20</w:t>
            </w:r>
          </w:p>
        </w:tc>
        <w:tc>
          <w:tcPr>
            <w:tcW w:w="2551" w:type="dxa"/>
            <w:vAlign w:val="center"/>
          </w:tcPr>
          <w:p>
            <w:pPr>
              <w:pStyle w:val="13"/>
            </w:pPr>
          </w:p>
        </w:tc>
        <w:tc>
          <w:tcPr>
            <w:tcW w:w="2552" w:type="dxa"/>
            <w:vAlign w:val="center"/>
          </w:tcPr>
          <w:p>
            <w:pPr>
              <w:pStyle w:val="13"/>
            </w:pPr>
            <w:r>
              <w:t>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40.00</w:t>
            </w:r>
          </w:p>
        </w:tc>
        <w:tc>
          <w:tcPr>
            <w:tcW w:w="2551" w:type="dxa"/>
            <w:vAlign w:val="center"/>
          </w:tcPr>
          <w:p>
            <w:pPr>
              <w:pStyle w:val="13"/>
            </w:pPr>
          </w:p>
        </w:tc>
        <w:tc>
          <w:tcPr>
            <w:tcW w:w="2552"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3.70</w:t>
            </w:r>
          </w:p>
        </w:tc>
        <w:tc>
          <w:tcPr>
            <w:tcW w:w="2551" w:type="dxa"/>
            <w:vAlign w:val="center"/>
          </w:tcPr>
          <w:p>
            <w:pPr>
              <w:pStyle w:val="13"/>
            </w:pPr>
          </w:p>
        </w:tc>
        <w:tc>
          <w:tcPr>
            <w:tcW w:w="2552"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24.02</w:t>
            </w:r>
          </w:p>
        </w:tc>
        <w:tc>
          <w:tcPr>
            <w:tcW w:w="2551" w:type="dxa"/>
            <w:vAlign w:val="center"/>
          </w:tcPr>
          <w:p>
            <w:pPr>
              <w:pStyle w:val="13"/>
            </w:pPr>
          </w:p>
        </w:tc>
        <w:tc>
          <w:tcPr>
            <w:tcW w:w="2552" w:type="dxa"/>
            <w:vAlign w:val="center"/>
          </w:tcPr>
          <w:p>
            <w:pPr>
              <w:pStyle w:val="13"/>
            </w:pPr>
            <w:r>
              <w:t>24.02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0.44</w:t>
            </w:r>
          </w:p>
        </w:tc>
        <w:tc>
          <w:tcPr>
            <w:tcW w:w="2551" w:type="dxa"/>
            <w:vAlign w:val="center"/>
          </w:tcPr>
          <w:p>
            <w:pPr>
              <w:pStyle w:val="13"/>
            </w:pPr>
            <w:r>
              <w:t>0.44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0.42</w:t>
            </w:r>
          </w:p>
        </w:tc>
        <w:tc>
          <w:tcPr>
            <w:tcW w:w="2551" w:type="dxa"/>
            <w:vAlign w:val="center"/>
          </w:tcPr>
          <w:p>
            <w:pPr>
              <w:pStyle w:val="13"/>
            </w:pPr>
            <w:r>
              <w:t>0.42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0.02</w:t>
            </w:r>
          </w:p>
        </w:tc>
        <w:tc>
          <w:tcPr>
            <w:tcW w:w="2551" w:type="dxa"/>
            <w:vAlign w:val="center"/>
          </w:tcPr>
          <w:p>
            <w:pPr>
              <w:pStyle w:val="13"/>
            </w:pPr>
            <w:r>
              <w:t>0.02</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3.70</w:t>
            </w:r>
          </w:p>
        </w:tc>
        <w:tc>
          <w:tcPr>
            <w:tcW w:w="2381" w:type="dxa"/>
            <w:vAlign w:val="center"/>
          </w:tcPr>
          <w:p>
            <w:pPr>
              <w:pStyle w:val="17"/>
            </w:pPr>
            <w:r>
              <w:t>3.70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3.70</w:t>
            </w:r>
          </w:p>
        </w:tc>
        <w:tc>
          <w:tcPr>
            <w:tcW w:w="2381" w:type="dxa"/>
            <w:vAlign w:val="center"/>
          </w:tcPr>
          <w:p>
            <w:pPr>
              <w:pStyle w:val="13"/>
            </w:pPr>
            <w:r>
              <w:t>3.70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3.70</w:t>
            </w:r>
          </w:p>
        </w:tc>
        <w:tc>
          <w:tcPr>
            <w:tcW w:w="2381" w:type="dxa"/>
            <w:vAlign w:val="center"/>
          </w:tcPr>
          <w:p>
            <w:pPr>
              <w:pStyle w:val="13"/>
            </w:pPr>
            <w:r>
              <w:t>3.70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3.70</w:t>
            </w:r>
          </w:p>
        </w:tc>
        <w:tc>
          <w:tcPr>
            <w:tcW w:w="2381" w:type="dxa"/>
            <w:vAlign w:val="center"/>
          </w:tcPr>
          <w:p>
            <w:pPr>
              <w:pStyle w:val="13"/>
            </w:pPr>
            <w:r>
              <w:t>3.70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深泽县机关事务管理局本级2022年单位预算信息公开情况说明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》、《地方预决算公开操作规程》和《关于进一步推进预算公开工作的实施意见》规定，现将深泽县机关事务管理局本级2022年单位预算公开如下：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根据《深泽县机关事务管理局职能配置、内设机构和人员编制规定》，深泽县机关事务管理局的主要职责是：</w:t>
      </w:r>
    </w:p>
    <w:p>
      <w:pPr>
        <w:pStyle w:val="27"/>
      </w:pPr>
      <w:r>
        <w:t>1、制定机关事务管理局的规章制度并组织实施。</w:t>
      </w:r>
    </w:p>
    <w:p>
      <w:pPr>
        <w:pStyle w:val="27"/>
      </w:pPr>
      <w:r>
        <w:t>2、制定机关后期改革总体规划和实施方案并组织实施：会同有关</w:t>
      </w:r>
      <w:r>
        <w:rPr>
          <w:rFonts w:hint="eastAsia"/>
          <w:lang w:eastAsia="zh-CN"/>
        </w:rPr>
        <w:t>单位</w:t>
      </w:r>
      <w:r>
        <w:t>制定后勤改革的具体政策和办法，协调解决后勤改革中存在的问题。</w:t>
      </w:r>
    </w:p>
    <w:p>
      <w:pPr>
        <w:pStyle w:val="27"/>
      </w:pPr>
      <w:r>
        <w:t>3、负责县委、县人大、县政府、县政协机关办公用房的协调管理。</w:t>
      </w:r>
    </w:p>
    <w:p>
      <w:pPr>
        <w:pStyle w:val="27"/>
      </w:pPr>
      <w:r>
        <w:t>4、负责机关大院内水、电、暖、绿化美化、卫生、环境秩序等后勤保障工作。</w:t>
      </w:r>
    </w:p>
    <w:p>
      <w:pPr>
        <w:pStyle w:val="27"/>
      </w:pPr>
      <w:r>
        <w:t>5、负责机关食堂及会议楼的管理。</w:t>
      </w:r>
    </w:p>
    <w:p>
      <w:pPr>
        <w:pStyle w:val="27"/>
      </w:pPr>
      <w:r>
        <w:t>6、负责机关大院内部安全保卫、通信保障及行政事务的协调工作。</w:t>
      </w:r>
    </w:p>
    <w:p>
      <w:pPr>
        <w:pStyle w:val="27"/>
      </w:pPr>
      <w:r>
        <w:t>7、完成县委、县人大、县政府、县政协交办的其他工作。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深泽县机关事务管理局本级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rPr>
                <w:lang w:eastAsia="zh-CN"/>
              </w:rPr>
            </w:pPr>
            <w:r>
              <w:t>财政性资金基本</w:t>
            </w:r>
            <w:r>
              <w:rPr>
                <w:rFonts w:hint="eastAsia"/>
                <w:lang w:eastAsia="zh-CN"/>
              </w:rPr>
              <w:t>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预算的编制实行综合预算管理，即全部收入和支出都反映在预算中。深泽县机关事务管理局事业单位的收支包含在本级预算中。</w:t>
      </w:r>
    </w:p>
    <w:p>
      <w:pPr>
        <w:pStyle w:val="28"/>
      </w:pPr>
      <w:r>
        <w:t>1、收入说明</w:t>
      </w:r>
    </w:p>
    <w:p>
      <w:pPr>
        <w:pStyle w:val="28"/>
      </w:pPr>
      <w:r>
        <w:t>反映本</w:t>
      </w:r>
      <w:r>
        <w:rPr>
          <w:rFonts w:hint="eastAsia"/>
          <w:lang w:eastAsia="zh-CN"/>
        </w:rPr>
        <w:t>单位</w:t>
      </w:r>
      <w:r>
        <w:t>当年全部收入。2022 年</w:t>
      </w:r>
      <w:r>
        <w:rPr>
          <w:rFonts w:hint="eastAsia"/>
          <w:lang w:eastAsia="zh-CN"/>
        </w:rPr>
        <w:t>单位</w:t>
      </w:r>
      <w:r>
        <w:t>预算收入1425.76万元，其中：一般公共预算收入1425.76 万元，基金预算收入 0 万元，财政专户核拨收入 0 万元，其他来源收入 0 万元。</w:t>
      </w:r>
    </w:p>
    <w:p>
      <w:pPr>
        <w:pStyle w:val="28"/>
      </w:pPr>
      <w:r>
        <w:t>2、支出说明</w:t>
      </w:r>
    </w:p>
    <w:p>
      <w:pPr>
        <w:pStyle w:val="28"/>
      </w:pPr>
      <w:r>
        <w:t>收支预算总表支出栏、基本支出表、项目支出表按经济分类和支出功能分类科目编制，反映深泽县机关事务管理局本级预算中支出预算的总体情况。2022年</w:t>
      </w:r>
      <w:r>
        <w:rPr>
          <w:rFonts w:hint="eastAsia"/>
          <w:lang w:eastAsia="zh-CN"/>
        </w:rPr>
        <w:t>单位</w:t>
      </w:r>
      <w:r>
        <w:t>支出预算为1425.76万元，包括人员经费23.53万元和日常公用经费284.22万元；项目支出1118.01万元，项目支出主要包括：县委县政府办公楼加固修缮工程1118.01万元。</w:t>
      </w:r>
    </w:p>
    <w:p>
      <w:pPr>
        <w:pStyle w:val="28"/>
      </w:pPr>
      <w:r>
        <w:t>3、比上年增减情况</w:t>
      </w:r>
    </w:p>
    <w:p>
      <w:pPr>
        <w:pStyle w:val="20"/>
        <w:rPr>
          <w:lang w:val="uk-UA"/>
        </w:rPr>
      </w:pPr>
      <w:r>
        <w:t>2022 年</w:t>
      </w:r>
      <w:r>
        <w:rPr>
          <w:rFonts w:hint="eastAsia"/>
          <w:lang w:eastAsia="zh-CN"/>
        </w:rPr>
        <w:t>单位</w:t>
      </w:r>
      <w:r>
        <w:t>预算收支安排1425.76万元，较 2021 年增加1075.04万元，其中：基本支出减少4</w:t>
      </w:r>
      <w:r>
        <w:rPr>
          <w:rFonts w:hint="eastAsia"/>
          <w:lang w:eastAsia="zh-CN"/>
        </w:rPr>
        <w:t>2.97</w:t>
      </w:r>
      <w:r>
        <w:t xml:space="preserve"> 万元，主要是人员调出和人员退休；项目支出增加</w:t>
      </w:r>
      <w:r>
        <w:rPr>
          <w:rFonts w:hint="eastAsia"/>
          <w:lang w:eastAsia="zh-CN"/>
        </w:rPr>
        <w:t>1118.01</w:t>
      </w:r>
      <w:r>
        <w:t>万元，主要是县委县政府办公楼加固修缮工程。</w:t>
      </w:r>
    </w:p>
    <w:p>
      <w:pPr>
        <w:spacing w:before="10" w:after="10"/>
        <w:ind w:firstLine="640"/>
        <w:outlineLvl w:val="5"/>
      </w:pPr>
      <w:r>
        <w:rPr>
          <w:rFonts w:ascii="黑体" w:hAnsi="黑体" w:eastAsia="黑体" w:cs="黑体"/>
          <w:color w:val="000000"/>
          <w:sz w:val="32"/>
        </w:rPr>
        <w:t>三、机关运行经费安排情况</w:t>
      </w:r>
    </w:p>
    <w:p>
      <w:pPr>
        <w:pStyle w:val="29"/>
      </w:pPr>
      <w:r>
        <w:t>2022年，我</w:t>
      </w:r>
      <w:r>
        <w:rPr>
          <w:rFonts w:hint="eastAsia"/>
          <w:lang w:eastAsia="zh-CN"/>
        </w:rPr>
        <w:t>单位</w:t>
      </w:r>
      <w:r>
        <w:t>机关运行经费共计安排284.22万元，主要用于保证机关正常运转的办公费、水费、电费、邮电费、差旅费、取暖费、物业管理费、公车运行维护费、日常维修费、公务交通补贴等支出。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eastAsia="zh-CN"/>
        </w:rPr>
        <w:t>单位</w:t>
      </w:r>
      <w:r>
        <w:t>财政拨款“三公”经费预算安排3.7万元，与上年持平，无增减变化。其中：因公出国（境）费0万元,与上年持平，无增减变化</w:t>
      </w:r>
      <w:r>
        <w:rPr>
          <w:rFonts w:hint="eastAsia"/>
          <w:lang w:eastAsia="zh-CN"/>
        </w:rPr>
        <w:t>，</w:t>
      </w:r>
      <w:r>
        <w:rPr>
          <w:lang w:eastAsia="zh-CN"/>
        </w:rPr>
        <w:t>主要原因</w:t>
      </w:r>
      <w:r>
        <w:rPr>
          <w:rFonts w:hint="eastAsia"/>
          <w:lang w:eastAsia="zh-CN"/>
        </w:rPr>
        <w:t>年初</w:t>
      </w:r>
      <w:r>
        <w:rPr>
          <w:lang w:eastAsia="zh-CN"/>
        </w:rPr>
        <w:t>没有</w:t>
      </w:r>
      <w:r>
        <w:rPr>
          <w:rFonts w:hint="eastAsia"/>
          <w:lang w:eastAsia="zh-CN"/>
        </w:rPr>
        <w:t>安排</w:t>
      </w:r>
      <w:r>
        <w:rPr>
          <w:lang w:eastAsia="zh-CN"/>
        </w:rPr>
        <w:t>因公出国</w:t>
      </w:r>
      <w:r>
        <w:rPr>
          <w:rFonts w:hint="eastAsia"/>
          <w:lang w:eastAsia="zh-CN"/>
        </w:rPr>
        <w:t>（境）</w:t>
      </w:r>
      <w:r>
        <w:rPr>
          <w:lang w:eastAsia="zh-CN"/>
        </w:rPr>
        <w:t>费</w:t>
      </w:r>
      <w:r>
        <w:t>；公务用车购置及运维费3.7万元（其中：公务用车购置费0万元，公务用车运行维护费3.7万元)，与上年持平，无增减变化</w:t>
      </w:r>
      <w:r>
        <w:rPr>
          <w:rFonts w:hint="eastAsia"/>
          <w:lang w:eastAsia="zh-CN"/>
        </w:rPr>
        <w:t>，</w:t>
      </w:r>
      <w:r>
        <w:rPr>
          <w:lang w:eastAsia="zh-CN"/>
        </w:rPr>
        <w:t>主要原因</w:t>
      </w:r>
      <w:r>
        <w:rPr>
          <w:rFonts w:hint="eastAsia"/>
          <w:lang w:eastAsia="zh-CN"/>
        </w:rPr>
        <w:t>是厉行节俭</w:t>
      </w:r>
      <w:r>
        <w:t>；公务</w:t>
      </w:r>
      <w:r>
        <w:rPr>
          <w:rFonts w:hint="eastAsia"/>
          <w:lang w:eastAsia="zh-CN"/>
        </w:rPr>
        <w:t>接待</w:t>
      </w:r>
      <w:r>
        <w:t>费0万元，与上年持平，主要原因</w:t>
      </w:r>
      <w:r>
        <w:rPr>
          <w:rFonts w:hint="eastAsia"/>
          <w:lang w:eastAsia="zh-CN"/>
        </w:rPr>
        <w:t>年初</w:t>
      </w:r>
      <w:r>
        <w:rPr>
          <w:lang w:eastAsia="zh-CN"/>
        </w:rPr>
        <w:t>没有</w:t>
      </w:r>
      <w:r>
        <w:rPr>
          <w:rFonts w:hint="eastAsia"/>
          <w:lang w:eastAsia="zh-CN"/>
        </w:rPr>
        <w:t>安排</w:t>
      </w:r>
      <w:r>
        <w:rPr>
          <w:lang w:eastAsia="zh-CN"/>
        </w:rPr>
        <w:t>公务接待费</w:t>
      </w:r>
      <w:r>
        <w:t>。</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1、机关办公楼加固绩效目标表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1.目标内容1办公楼加固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基础设施项目建设完成率</w:t>
            </w:r>
          </w:p>
        </w:tc>
        <w:tc>
          <w:tcPr>
            <w:tcW w:w="2835" w:type="dxa"/>
            <w:vAlign w:val="center"/>
          </w:tcPr>
          <w:p>
            <w:pPr>
              <w:pStyle w:val="14"/>
            </w:pPr>
            <w:r>
              <w:t>基础设施项目建设完成率</w:t>
            </w:r>
          </w:p>
        </w:tc>
        <w:tc>
          <w:tcPr>
            <w:tcW w:w="2551" w:type="dxa"/>
            <w:vAlign w:val="center"/>
          </w:tcPr>
          <w:p>
            <w:pPr>
              <w:pStyle w:val="14"/>
            </w:pPr>
            <w:r>
              <w:t>≥85%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项目按计划开工率</w:t>
            </w:r>
          </w:p>
        </w:tc>
        <w:tc>
          <w:tcPr>
            <w:tcW w:w="2551" w:type="dxa"/>
            <w:vAlign w:val="center"/>
          </w:tcPr>
          <w:p>
            <w:pPr>
              <w:pStyle w:val="14"/>
            </w:pPr>
            <w:r>
              <w:t>≥95%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单位平方米、公里数、个数、亩数等的建设、改造、修缮成本</w:t>
            </w:r>
          </w:p>
        </w:tc>
        <w:tc>
          <w:tcPr>
            <w:tcW w:w="2551" w:type="dxa"/>
            <w:vAlign w:val="center"/>
          </w:tcPr>
          <w:p>
            <w:pPr>
              <w:pStyle w:val="14"/>
            </w:pPr>
            <w:r>
              <w:t>按实际完工计算</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≥85%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设施正常运转率</w:t>
            </w:r>
          </w:p>
        </w:tc>
        <w:tc>
          <w:tcPr>
            <w:tcW w:w="2835" w:type="dxa"/>
            <w:vAlign w:val="center"/>
          </w:tcPr>
          <w:p>
            <w:pPr>
              <w:pStyle w:val="14"/>
            </w:pPr>
            <w:r>
              <w:t>设施正常运转率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环境保护改善</w:t>
            </w:r>
          </w:p>
        </w:tc>
        <w:tc>
          <w:tcPr>
            <w:tcW w:w="2835" w:type="dxa"/>
            <w:vAlign w:val="center"/>
          </w:tcPr>
          <w:p>
            <w:pPr>
              <w:pStyle w:val="14"/>
            </w:pPr>
            <w:r>
              <w:t>环境保护绿化改善</w:t>
            </w:r>
          </w:p>
        </w:tc>
        <w:tc>
          <w:tcPr>
            <w:tcW w:w="2551" w:type="dxa"/>
            <w:vAlign w:val="center"/>
          </w:tcPr>
          <w:p>
            <w:pPr>
              <w:pStyle w:val="14"/>
            </w:pPr>
            <w:r>
              <w:t>≥80%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受益群体满意度</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2、综合服务中心项目剩余工程款绩效目标表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综合服务中心项目剩余工程款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基础设施项目建设完成率</w:t>
            </w:r>
          </w:p>
        </w:tc>
        <w:tc>
          <w:tcPr>
            <w:tcW w:w="2835" w:type="dxa"/>
            <w:vAlign w:val="center"/>
          </w:tcPr>
          <w:p>
            <w:pPr>
              <w:pStyle w:val="14"/>
            </w:pPr>
            <w:r>
              <w:t>基础设施项目建设完成率</w:t>
            </w:r>
          </w:p>
        </w:tc>
        <w:tc>
          <w:tcPr>
            <w:tcW w:w="2551" w:type="dxa"/>
            <w:vAlign w:val="center"/>
          </w:tcPr>
          <w:p>
            <w:pPr>
              <w:pStyle w:val="14"/>
            </w:pPr>
            <w:r>
              <w:t>≥85%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项目按计划开工率</w:t>
            </w:r>
          </w:p>
        </w:tc>
        <w:tc>
          <w:tcPr>
            <w:tcW w:w="2551" w:type="dxa"/>
            <w:vAlign w:val="center"/>
          </w:tcPr>
          <w:p>
            <w:pPr>
              <w:pStyle w:val="14"/>
            </w:pPr>
            <w:r>
              <w:t>≥95%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单位平方米、公里数、个数、亩数等的建设、改造、修缮成本</w:t>
            </w:r>
          </w:p>
        </w:tc>
        <w:tc>
          <w:tcPr>
            <w:tcW w:w="2551" w:type="dxa"/>
            <w:vAlign w:val="center"/>
          </w:tcPr>
          <w:p>
            <w:pPr>
              <w:pStyle w:val="14"/>
            </w:pPr>
            <w:r>
              <w:t>按实际完工计算</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≥85%</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设施正常运转率</w:t>
            </w:r>
          </w:p>
        </w:tc>
        <w:tc>
          <w:tcPr>
            <w:tcW w:w="2835" w:type="dxa"/>
            <w:vAlign w:val="center"/>
          </w:tcPr>
          <w:p>
            <w:pPr>
              <w:pStyle w:val="14"/>
            </w:pPr>
            <w:r>
              <w:t>设施正常运转率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环境保护改善</w:t>
            </w:r>
          </w:p>
        </w:tc>
        <w:tc>
          <w:tcPr>
            <w:tcW w:w="2835" w:type="dxa"/>
            <w:vAlign w:val="center"/>
          </w:tcPr>
          <w:p>
            <w:pPr>
              <w:pStyle w:val="14"/>
            </w:pPr>
            <w:r>
              <w:t>环境保护绿化改善</w:t>
            </w:r>
          </w:p>
        </w:tc>
        <w:tc>
          <w:tcPr>
            <w:tcW w:w="2551" w:type="dxa"/>
            <w:vAlign w:val="center"/>
          </w:tcPr>
          <w:p>
            <w:pPr>
              <w:pStyle w:val="14"/>
            </w:pPr>
            <w:r>
              <w:t>≥80%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受益群体满意度</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2022年，深泽县机关事务管理局本级安排政府采购预算0.00万元。具体内容见下表。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深泽县机关事务管理局本级上年末固定资产金额为104.27万元（详见下表）。本年度拟购置固定资产总额为0.00万元，已按要求列入政府采购预算，详见政府采购预算表。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430001深泽县机关事务管理局本级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95.11</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w:t>
      </w:r>
      <w:r>
        <w:rPr>
          <w:rFonts w:hint="eastAsia" w:eastAsia="方正仿宋_GBK"/>
          <w:color w:val="000000"/>
          <w:sz w:val="28"/>
          <w:lang w:eastAsia="zh-CN"/>
        </w:rPr>
        <w:t>单位</w:t>
      </w:r>
      <w:bookmarkStart w:id="1" w:name="_GoBack"/>
      <w:bookmarkEnd w:id="1"/>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0C0A59"/>
    <w:multiLevelType w:val="singleLevel"/>
    <w:tmpl w:val="290C0A59"/>
    <w:lvl w:ilvl="0" w:tentative="0">
      <w:start w:val="5"/>
      <w:numFmt w:val="chineseCounting"/>
      <w:suff w:val="nothing"/>
      <w:lvlText w:val="%1、"/>
      <w:lvlJc w:val="left"/>
      <w:rPr>
        <w:rFonts w:hint="eastAsia"/>
      </w:rPr>
    </w:lvl>
  </w:abstractNum>
  <w:abstractNum w:abstractNumId="1">
    <w:nsid w:val="46C17F56"/>
    <w:multiLevelType w:val="singleLevel"/>
    <w:tmpl w:val="46C17F56"/>
    <w:lvl w:ilvl="0" w:tentative="0">
      <w:start w:val="1"/>
      <w:numFmt w:val="chineseCounting"/>
      <w:suff w:val="nothing"/>
      <w:lvlText w:val="%1、"/>
      <w:lvlJc w:val="left"/>
      <w:pPr>
        <w:ind w:left="0" w:firstLine="4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AyZjJhODlkZjc5YmQzOGZhNzAxMjI2NGNkNDZmNmIifQ=="/>
  </w:docVars>
  <w:rsids>
    <w:rsidRoot w:val="00E519D2"/>
    <w:rsid w:val="000829B3"/>
    <w:rsid w:val="001708A2"/>
    <w:rsid w:val="002A35F5"/>
    <w:rsid w:val="00325DCC"/>
    <w:rsid w:val="00332F33"/>
    <w:rsid w:val="004A0F86"/>
    <w:rsid w:val="00557F85"/>
    <w:rsid w:val="00632D30"/>
    <w:rsid w:val="006B0C9A"/>
    <w:rsid w:val="00991962"/>
    <w:rsid w:val="00AB0741"/>
    <w:rsid w:val="00AE3DC3"/>
    <w:rsid w:val="00C70040"/>
    <w:rsid w:val="00E519D2"/>
    <w:rsid w:val="00FB55F2"/>
    <w:rsid w:val="02C23B19"/>
    <w:rsid w:val="0DE03144"/>
    <w:rsid w:val="128B2C14"/>
    <w:rsid w:val="13A709A3"/>
    <w:rsid w:val="16023A1F"/>
    <w:rsid w:val="177A657B"/>
    <w:rsid w:val="18B033F6"/>
    <w:rsid w:val="1BAE156B"/>
    <w:rsid w:val="22CE1291"/>
    <w:rsid w:val="31234123"/>
    <w:rsid w:val="32DD1453"/>
    <w:rsid w:val="374F4FBD"/>
    <w:rsid w:val="37FC27D0"/>
    <w:rsid w:val="3A8B6BE6"/>
    <w:rsid w:val="3B4F3843"/>
    <w:rsid w:val="3B8724C9"/>
    <w:rsid w:val="44EF65EB"/>
    <w:rsid w:val="471B3FF5"/>
    <w:rsid w:val="48671EE1"/>
    <w:rsid w:val="48C43AE9"/>
    <w:rsid w:val="4EE5044C"/>
    <w:rsid w:val="5E2006A3"/>
    <w:rsid w:val="64336E10"/>
    <w:rsid w:val="6C0009B4"/>
    <w:rsid w:val="6FED3E47"/>
    <w:rsid w:val="70512B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2022-06-23T18:19:15Z</dcterms:created>
  <dcterms:modified xsi:type="dcterms:W3CDTF">2022-06-23T10:19:15Z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2022-06-23T18:19:15Z</dcterms:created>
  <dcterms:modified xsi:type="dcterms:W3CDTF">2022-06-23T10:19:14Z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2022-06-23T18:19:17Z</dcterms:created>
  <dcterms:modified xsi:type="dcterms:W3CDTF">2022-06-23T10:19:17Z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2022-06-23T18:19:17Z</dcterms:created>
  <dcterms:modified xsi:type="dcterms:W3CDTF">2022-06-23T10:19:17Z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2022-06-23T18:19:15Z</dcterms:created>
  <dcterms:modified xsi:type="dcterms:W3CDTF">2022-06-23T10:19:15Z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2022-06-23T18:19:15Z</dcterms:created>
  <dcterms:modified xsi:type="dcterms:W3CDTF">2022-06-23T10:19:15Z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2022-06-23T18:19:17Z</dcterms:created>
  <dcterms:modified xsi:type="dcterms:W3CDTF">2022-06-23T10:19:16Z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2022-06-23T18:19:15Z</dcterms:created>
  <dcterms:modified xsi:type="dcterms:W3CDTF">2022-06-23T10:19:15Z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2022-06-23T18:19:17Z</dcterms:created>
  <dcterms:modified xsi:type="dcterms:W3CDTF">2022-06-23T10:19:17Z</dcterms:modified>
</cp:coreProperties>
</file>

<file path=customXml/itemProps1.xml><?xml version="1.0" encoding="utf-8"?>
<ds:datastoreItem xmlns:ds="http://schemas.openxmlformats.org/officeDocument/2006/customXml" ds:itemID="{733D4E96-A5BE-49C4-B899-1BE07A228E5D}">
  <ds:schemaRefs/>
</ds:datastoreItem>
</file>

<file path=customXml/itemProps10.xml><?xml version="1.0" encoding="utf-8"?>
<ds:datastoreItem xmlns:ds="http://schemas.openxmlformats.org/officeDocument/2006/customXml" ds:itemID="{162B20F2-0E44-41E6-9804-6E78E00BB696}">
  <ds:schemaRefs/>
</ds:datastoreItem>
</file>

<file path=customXml/itemProps11.xml><?xml version="1.0" encoding="utf-8"?>
<ds:datastoreItem xmlns:ds="http://schemas.openxmlformats.org/officeDocument/2006/customXml" ds:itemID="{47F0363B-6EEB-4A4F-BD2F-E6CB4F0478B4}">
  <ds:schemaRefs/>
</ds:datastoreItem>
</file>

<file path=customXml/itemProps12.xml><?xml version="1.0" encoding="utf-8"?>
<ds:datastoreItem xmlns:ds="http://schemas.openxmlformats.org/officeDocument/2006/customXml" ds:itemID="{E8842D07-3335-4A41-BD0F-3617FF85494D}">
  <ds:schemaRefs/>
</ds:datastoreItem>
</file>

<file path=customXml/itemProps13.xml><?xml version="1.0" encoding="utf-8"?>
<ds:datastoreItem xmlns:ds="http://schemas.openxmlformats.org/officeDocument/2006/customXml" ds:itemID="{92E6DEA5-A4D1-4285-8A54-3CB5E078A2B0}">
  <ds:schemaRefs/>
</ds:datastoreItem>
</file>

<file path=customXml/itemProps14.xml><?xml version="1.0" encoding="utf-8"?>
<ds:datastoreItem xmlns:ds="http://schemas.openxmlformats.org/officeDocument/2006/customXml" ds:itemID="{7A277C8E-96FC-4FB7-9EA4-3C62A1A01625}">
  <ds:schemaRefs/>
</ds:datastoreItem>
</file>

<file path=customXml/itemProps15.xml><?xml version="1.0" encoding="utf-8"?>
<ds:datastoreItem xmlns:ds="http://schemas.openxmlformats.org/officeDocument/2006/customXml" ds:itemID="{1A3E85C1-2AC1-4A88-8024-B247512049DF}">
  <ds:schemaRefs/>
</ds:datastoreItem>
</file>

<file path=customXml/itemProps16.xml><?xml version="1.0" encoding="utf-8"?>
<ds:datastoreItem xmlns:ds="http://schemas.openxmlformats.org/officeDocument/2006/customXml" ds:itemID="{AADCF7D6-98F9-4012-8785-D6B631DF62AC}">
  <ds:schemaRefs/>
</ds:datastoreItem>
</file>

<file path=customXml/itemProps17.xml><?xml version="1.0" encoding="utf-8"?>
<ds:datastoreItem xmlns:ds="http://schemas.openxmlformats.org/officeDocument/2006/customXml" ds:itemID="{BBCEB825-829D-41EE-A02E-0C5B7646F981}">
  <ds:schemaRefs/>
</ds:datastoreItem>
</file>

<file path=customXml/itemProps18.xml><?xml version="1.0" encoding="utf-8"?>
<ds:datastoreItem xmlns:ds="http://schemas.openxmlformats.org/officeDocument/2006/customXml" ds:itemID="{EC58E7F2-3778-4DBB-A264-CFDA99E8496C}">
  <ds:schemaRefs/>
</ds:datastoreItem>
</file>

<file path=customXml/itemProps2.xml><?xml version="1.0" encoding="utf-8"?>
<ds:datastoreItem xmlns:ds="http://schemas.openxmlformats.org/officeDocument/2006/customXml" ds:itemID="{35425EBC-0683-4943-8CF8-2F81F6BFB920}">
  <ds:schemaRefs/>
</ds:datastoreItem>
</file>

<file path=customXml/itemProps3.xml><?xml version="1.0" encoding="utf-8"?>
<ds:datastoreItem xmlns:ds="http://schemas.openxmlformats.org/officeDocument/2006/customXml" ds:itemID="{381796B4-6BBA-433C-818F-056DBC495065}">
  <ds:schemaRefs/>
</ds:datastoreItem>
</file>

<file path=customXml/itemProps4.xml><?xml version="1.0" encoding="utf-8"?>
<ds:datastoreItem xmlns:ds="http://schemas.openxmlformats.org/officeDocument/2006/customXml" ds:itemID="{FF2A2F0C-7788-4328-AB30-2C803948E587}">
  <ds:schemaRefs/>
</ds:datastoreItem>
</file>

<file path=customXml/itemProps5.xml><?xml version="1.0" encoding="utf-8"?>
<ds:datastoreItem xmlns:ds="http://schemas.openxmlformats.org/officeDocument/2006/customXml" ds:itemID="{CF32152E-3943-4152-ABCF-2F30A26FF528}">
  <ds:schemaRefs/>
</ds:datastoreItem>
</file>

<file path=customXml/itemProps6.xml><?xml version="1.0" encoding="utf-8"?>
<ds:datastoreItem xmlns:ds="http://schemas.openxmlformats.org/officeDocument/2006/customXml" ds:itemID="{4ACD3F86-20E2-4C1B-9ABD-1763CB14F820}">
  <ds:schemaRefs/>
</ds:datastoreItem>
</file>

<file path=customXml/itemProps7.xml><?xml version="1.0" encoding="utf-8"?>
<ds:datastoreItem xmlns:ds="http://schemas.openxmlformats.org/officeDocument/2006/customXml" ds:itemID="{402B1105-A3FB-4EB8-A1FE-B8ABCE007251}">
  <ds:schemaRefs/>
</ds:datastoreItem>
</file>

<file path=customXml/itemProps8.xml><?xml version="1.0" encoding="utf-8"?>
<ds:datastoreItem xmlns:ds="http://schemas.openxmlformats.org/officeDocument/2006/customXml" ds:itemID="{069F82F0-A680-4BB5-B4F2-1F3CA0CFF507}">
  <ds:schemaRefs/>
</ds:datastoreItem>
</file>

<file path=customXml/itemProps9.xml><?xml version="1.0" encoding="utf-8"?>
<ds:datastoreItem xmlns:ds="http://schemas.openxmlformats.org/officeDocument/2006/customXml" ds:itemID="{049BD22F-F712-4AB8-9706-D94D3193EAE5}">
  <ds:schemaRefs/>
</ds:datastoreItem>
</file>

<file path=docProps/app.xml><?xml version="1.0" encoding="utf-8"?>
<Properties xmlns="http://schemas.openxmlformats.org/officeDocument/2006/extended-properties" xmlns:vt="http://schemas.openxmlformats.org/officeDocument/2006/docPropsVTypes">
  <Template>Normal.dotm</Template>
  <Pages>20</Pages>
  <Words>5112</Words>
  <Characters>6042</Characters>
  <Lines>125</Lines>
  <Paragraphs>35</Paragraphs>
  <TotalTime>16</TotalTime>
  <ScaleCrop>false</ScaleCrop>
  <LinksUpToDate>false</LinksUpToDate>
  <CharactersWithSpaces>6199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2022-06-23T10:23:00Z</dcterms:created>
  <dc:creator>Administrator</dc:creator>
  <cp:lastModifiedBy>Administrator</cp:lastModifiedBy>
  <dcterms:modified xsi:type="dcterms:W3CDTF">2025-09-05T08:15:29Z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37DAC129B151484586027AEFDD8E2BE1</vt:lpwstr>
  </property>
</Properties>
</file>