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BCB5CB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</w:p>
    <w:p w14:paraId="082D11A6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目     录</w:t>
      </w:r>
    </w:p>
    <w:p w14:paraId="4F0E9857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</w:p>
    <w:p w14:paraId="758C47DB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1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</w:rPr>
        <w:t>财政拨款“三公经费”预算安排情况</w:t>
      </w:r>
    </w:p>
    <w:p w14:paraId="0511F092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2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</w:rPr>
        <w:t>政府预算举借债务情况说明</w:t>
      </w:r>
    </w:p>
    <w:p w14:paraId="21462AAC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3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</w:rPr>
        <w:t>政府预算财政转移资金说明</w:t>
      </w:r>
    </w:p>
    <w:p w14:paraId="2DBEF2C2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ascii="仿宋" w:hAnsi="仿宋" w:eastAsia="仿宋_GB2312"/>
          <w:sz w:val="32"/>
          <w:szCs w:val="32"/>
        </w:rPr>
      </w:pPr>
      <w:r>
        <w:rPr>
          <w:rFonts w:ascii="仿宋" w:hAnsi="仿宋" w:eastAsia="仿宋_GB2312"/>
          <w:sz w:val="32"/>
          <w:szCs w:val="32"/>
        </w:rPr>
        <w:t>4</w:t>
      </w:r>
      <w:r>
        <w:rPr>
          <w:rFonts w:hint="eastAsia" w:ascii="仿宋" w:hAnsi="仿宋" w:eastAsia="仿宋_GB2312"/>
          <w:sz w:val="32"/>
          <w:szCs w:val="32"/>
        </w:rPr>
        <w:t>.深泽县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</w:rPr>
        <w:t>政府采购预算情况说明</w:t>
      </w:r>
    </w:p>
    <w:p w14:paraId="28D7FEA0">
      <w:pPr>
        <w:pageBreakBefore w:val="0"/>
        <w:kinsoku/>
        <w:wordWrap/>
        <w:topLinePunct w:val="0"/>
        <w:bidi w:val="0"/>
        <w:ind w:right="-57" w:rightChars="-26"/>
        <w:jc w:val="both"/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</w:pPr>
      <w:r>
        <w:rPr>
          <w:rFonts w:ascii="仿宋" w:hAnsi="仿宋" w:eastAsia="仿宋_GB2312" w:cs="Times New Roman"/>
          <w:sz w:val="32"/>
          <w:szCs w:val="32"/>
        </w:rPr>
        <w:t>5</w:t>
      </w:r>
      <w:r>
        <w:rPr>
          <w:rFonts w:hint="eastAsia" w:ascii="仿宋" w:hAnsi="仿宋" w:eastAsia="仿宋_GB2312" w:cs="Times New Roman"/>
          <w:sz w:val="32"/>
          <w:szCs w:val="32"/>
        </w:rPr>
        <w:t>.深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  <w:t>泽县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 w:cs="Times New Roman"/>
          <w:b w:val="0"/>
          <w:bCs w:val="0"/>
          <w:sz w:val="32"/>
          <w:szCs w:val="32"/>
        </w:rPr>
        <w:t>预算绩效工作开展情况说明</w:t>
      </w:r>
    </w:p>
    <w:p w14:paraId="03BD281C">
      <w:pPr>
        <w:pageBreakBefore w:val="0"/>
        <w:kinsoku/>
        <w:wordWrap/>
        <w:topLinePunct w:val="0"/>
        <w:bidi w:val="0"/>
        <w:jc w:val="both"/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6.深泽县2024年重大政策和重点项目等绩效目标</w:t>
      </w:r>
    </w:p>
    <w:p w14:paraId="5C985E97">
      <w:pPr>
        <w:pStyle w:val="5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/>
        <w:jc w:val="both"/>
        <w:textAlignment w:val="auto"/>
        <w:rPr>
          <w:rFonts w:hint="eastAsia" w:ascii="仿宋" w:hAnsi="仿宋" w:eastAsia="仿宋_GB2312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.深泽县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政府预算国有资本经营预算编制情况说明</w:t>
      </w:r>
    </w:p>
    <w:p w14:paraId="21FD97F1">
      <w:pPr>
        <w:pageBreakBefore w:val="0"/>
        <w:kinsoku/>
        <w:wordWrap/>
        <w:topLinePunct w:val="0"/>
        <w:bidi w:val="0"/>
        <w:jc w:val="both"/>
        <w:rPr>
          <w:rFonts w:hint="eastAsia" w:ascii="仿宋" w:hAnsi="仿宋" w:eastAsia="仿宋_GB2312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.深泽县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  <w:lang w:eastAsia="zh-CN"/>
        </w:rPr>
        <w:t>2024年</w:t>
      </w:r>
      <w:r>
        <w:rPr>
          <w:rFonts w:hint="eastAsia" w:ascii="仿宋" w:hAnsi="仿宋" w:eastAsia="仿宋_GB2312" w:cs="仿宋"/>
          <w:b w:val="0"/>
          <w:bCs w:val="0"/>
          <w:sz w:val="32"/>
          <w:szCs w:val="32"/>
        </w:rPr>
        <w:t>政府预算其他重要事项的解释说明</w:t>
      </w:r>
    </w:p>
    <w:p w14:paraId="45834ABE">
      <w:pPr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360" w:lineRule="auto"/>
        <w:jc w:val="both"/>
        <w:textAlignment w:val="auto"/>
        <w:rPr>
          <w:rFonts w:ascii="宋体" w:hAnsi="宋体" w:cs="宋体"/>
          <w:b w:val="0"/>
          <w:bCs w:val="0"/>
          <w:snapToGrid w:val="0"/>
          <w:sz w:val="32"/>
          <w:szCs w:val="36"/>
        </w:rPr>
      </w:pPr>
    </w:p>
    <w:p w14:paraId="355B7A1D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03D23A36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52124428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5D6A48AC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78942172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2FB1F292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147694FB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ascii="宋体" w:hAnsi="宋体" w:cs="宋体"/>
          <w:b/>
          <w:bCs/>
          <w:snapToGrid w:val="0"/>
          <w:sz w:val="32"/>
          <w:szCs w:val="36"/>
        </w:rPr>
      </w:pPr>
    </w:p>
    <w:p w14:paraId="48889F6D">
      <w:pPr>
        <w:pageBreakBefore w:val="0"/>
        <w:kinsoku/>
        <w:wordWrap/>
        <w:overflowPunct w:val="0"/>
        <w:topLinePunct w:val="0"/>
        <w:bidi w:val="0"/>
        <w:spacing w:line="360" w:lineRule="auto"/>
        <w:jc w:val="both"/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napToGrid w:val="0"/>
          <w:sz w:val="44"/>
          <w:szCs w:val="44"/>
        </w:rPr>
        <w:t>“三公”经费财政拨款预算表</w:t>
      </w:r>
    </w:p>
    <w:tbl>
      <w:tblPr>
        <w:tblStyle w:val="9"/>
        <w:tblW w:w="9000" w:type="dxa"/>
        <w:tblInd w:w="93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24"/>
        <w:gridCol w:w="1476"/>
      </w:tblGrid>
      <w:tr w14:paraId="21B719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7524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8999CDA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b/>
                <w:bCs/>
                <w:sz w:val="36"/>
                <w:szCs w:val="36"/>
              </w:rPr>
              <w:t xml:space="preserve">   </w:t>
            </w:r>
            <w:r>
              <w:rPr>
                <w:rFonts w:ascii="宋体" w:hAnsi="宋体" w:cs="宋体"/>
                <w:sz w:val="24"/>
              </w:rPr>
              <w:t>　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BF4DBF3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单位：万元</w:t>
            </w:r>
          </w:p>
        </w:tc>
      </w:tr>
      <w:tr w14:paraId="45967B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205AC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项目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B9F57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预算数</w:t>
            </w:r>
          </w:p>
        </w:tc>
      </w:tr>
      <w:tr w14:paraId="7DA6F0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17BE7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合计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31AA616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363</w:t>
            </w:r>
          </w:p>
        </w:tc>
      </w:tr>
      <w:tr w14:paraId="2013DE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0D8A6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因公出国（境）费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53FB14E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ascii="仿宋" w:hAnsi="仿宋" w:eastAsia="仿宋_GB2312" w:cs="宋体"/>
                <w:sz w:val="32"/>
                <w:szCs w:val="32"/>
              </w:rPr>
              <w:t>　</w:t>
            </w: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10</w:t>
            </w:r>
          </w:p>
        </w:tc>
      </w:tr>
      <w:tr w14:paraId="6054AD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74F94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公务接待费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1E1B907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3.6</w:t>
            </w:r>
          </w:p>
        </w:tc>
      </w:tr>
      <w:tr w14:paraId="22C323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14F76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公务用车购置及运行费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526944F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349.4</w:t>
            </w:r>
          </w:p>
        </w:tc>
      </w:tr>
      <w:tr w14:paraId="74A39E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89C1D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其中：公务用车运行维护费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E9AD74F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306.1</w:t>
            </w:r>
          </w:p>
        </w:tc>
      </w:tr>
      <w:tr w14:paraId="3E8047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752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D7DC95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ascii="仿宋" w:hAnsi="仿宋" w:eastAsia="仿宋" w:cs="宋体"/>
                <w:sz w:val="32"/>
                <w:szCs w:val="32"/>
              </w:rPr>
            </w:pPr>
            <w:r>
              <w:rPr>
                <w:rFonts w:ascii="宋体" w:hAnsi="宋体" w:eastAsia="仿宋_GB2312" w:cs="宋体"/>
                <w:sz w:val="32"/>
                <w:szCs w:val="32"/>
              </w:rPr>
              <w:t>      </w:t>
            </w:r>
            <w:r>
              <w:rPr>
                <w:rFonts w:ascii="仿宋" w:hAnsi="仿宋" w:eastAsia="仿宋_GB2312" w:cs="宋体"/>
                <w:sz w:val="32"/>
                <w:szCs w:val="32"/>
              </w:rPr>
              <w:t xml:space="preserve"> 公务用车购置</w:t>
            </w:r>
          </w:p>
        </w:tc>
        <w:tc>
          <w:tcPr>
            <w:tcW w:w="14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CFD1A6F">
            <w:pPr>
              <w:pageBreakBefore w:val="0"/>
              <w:kinsoku/>
              <w:wordWrap/>
              <w:topLinePunct w:val="0"/>
              <w:bidi w:val="0"/>
              <w:spacing w:before="100" w:beforeAutospacing="1" w:after="100" w:afterAutospacing="1"/>
              <w:jc w:val="both"/>
              <w:rPr>
                <w:rFonts w:hint="default" w:ascii="仿宋" w:hAnsi="仿宋" w:eastAsia="仿宋" w:cs="宋体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_GB2312" w:cs="宋体"/>
                <w:sz w:val="32"/>
                <w:szCs w:val="32"/>
                <w:lang w:val="en-US" w:eastAsia="zh-CN"/>
              </w:rPr>
              <w:t>43.3</w:t>
            </w:r>
          </w:p>
        </w:tc>
      </w:tr>
    </w:tbl>
    <w:p w14:paraId="0AA3EA06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600" w:lineRule="exact"/>
        <w:ind w:firstLine="39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</w:rPr>
      </w:pPr>
    </w:p>
    <w:p w14:paraId="6B522FC1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after="0" w:line="600" w:lineRule="exact"/>
        <w:ind w:left="0" w:leftChars="0" w:firstLine="0" w:firstLineChars="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  <w:t>深泽县202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38"/>
          <w:szCs w:val="38"/>
        </w:rPr>
        <w:t>年“三公”经费财政拨款预算情况说明</w:t>
      </w:r>
    </w:p>
    <w:p w14:paraId="615496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eastAsia" w:ascii="仿宋" w:hAnsi="仿宋" w:eastAsia="仿宋_GB2312"/>
          <w:sz w:val="32"/>
          <w:szCs w:val="32"/>
        </w:rPr>
      </w:pPr>
    </w:p>
    <w:p w14:paraId="066E8C1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深泽县认真贯彻《党政机关厉行节约反对浪费条例》精神，严格控制“三公”经费，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/>
          <w:sz w:val="32"/>
          <w:szCs w:val="32"/>
        </w:rPr>
        <w:t>全县“三公”经费支出安排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363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较</w:t>
      </w:r>
      <w:r>
        <w:rPr>
          <w:rFonts w:hint="eastAsia" w:ascii="仿宋" w:hAnsi="仿宋" w:eastAsia="仿宋_GB2312"/>
          <w:sz w:val="32"/>
          <w:szCs w:val="32"/>
        </w:rPr>
        <w:t>上年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减少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0.7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万元，降低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0.2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%</w:t>
      </w:r>
      <w:r>
        <w:rPr>
          <w:rFonts w:hint="eastAsia" w:ascii="仿宋" w:hAnsi="仿宋" w:eastAsia="仿宋_GB2312"/>
          <w:sz w:val="32"/>
          <w:szCs w:val="32"/>
        </w:rPr>
        <w:t>。具体安排情况如下：</w:t>
      </w:r>
    </w:p>
    <w:p w14:paraId="0C7E3FE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default" w:ascii="仿宋" w:hAnsi="仿宋" w:eastAsia="仿宋_GB2312"/>
          <w:sz w:val="32"/>
          <w:szCs w:val="32"/>
          <w:lang w:val="en-US" w:eastAsia="zh-CN"/>
        </w:rPr>
      </w:pPr>
      <w:r>
        <w:rPr>
          <w:rFonts w:ascii="仿宋" w:hAnsi="仿宋" w:eastAsia="仿宋_GB2312" w:cs="Times New Roman"/>
          <w:sz w:val="32"/>
          <w:szCs w:val="32"/>
          <w:lang w:val="en-US" w:eastAsia="zh-CN" w:bidi="ar-SA"/>
        </w:rPr>
        <w:t>一、</w:t>
      </w:r>
      <w:r>
        <w:rPr>
          <w:rFonts w:hint="eastAsia" w:ascii="仿宋" w:hAnsi="仿宋" w:eastAsia="仿宋_GB2312"/>
          <w:sz w:val="32"/>
          <w:szCs w:val="32"/>
        </w:rPr>
        <w:t>公务用车购置及运行维护经费。安排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349.4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eastAsia="zh-CN"/>
        </w:rPr>
        <w:t>较</w:t>
      </w:r>
      <w:r>
        <w:rPr>
          <w:rFonts w:hint="eastAsia" w:ascii="仿宋" w:hAnsi="仿宋" w:eastAsia="仿宋_GB2312"/>
          <w:sz w:val="32"/>
          <w:szCs w:val="32"/>
        </w:rPr>
        <w:t>上年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减少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10.7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万元，降低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</w:rPr>
        <w:t>%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预算部门公务用车更新采购数量减少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 w14:paraId="44A18759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hint="default" w:ascii="仿宋" w:hAnsi="仿宋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_GB2312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_GB2312"/>
          <w:sz w:val="32"/>
          <w:szCs w:val="32"/>
        </w:rPr>
        <w:t>公务用车购置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43.3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较上年减少10.7万元，降低20%，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预算部门公务用车更新采购数量减少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 w14:paraId="7367BAF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2.公车运行维护费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306.1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</w:t>
      </w:r>
      <w:r>
        <w:rPr>
          <w:rFonts w:hint="eastAsia" w:ascii="仿宋" w:hAnsi="仿宋" w:eastAsia="仿宋_GB2312"/>
          <w:sz w:val="32"/>
          <w:szCs w:val="32"/>
        </w:rPr>
        <w:t xml:space="preserve">。 </w:t>
      </w:r>
    </w:p>
    <w:p w14:paraId="2653A7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二、公务接待费。安排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3.6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与上年持平</w:t>
      </w:r>
      <w:r>
        <w:rPr>
          <w:rFonts w:hint="eastAsia" w:ascii="仿宋" w:hAnsi="仿宋" w:eastAsia="仿宋_GB2312"/>
          <w:sz w:val="32"/>
          <w:szCs w:val="32"/>
        </w:rPr>
        <w:t>。</w:t>
      </w:r>
    </w:p>
    <w:p w14:paraId="5F8998C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312" w:lineRule="auto"/>
        <w:ind w:firstLine="640" w:firstLineChars="200"/>
        <w:jc w:val="both"/>
        <w:textAlignment w:val="auto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/>
          <w:sz w:val="32"/>
          <w:szCs w:val="32"/>
        </w:rPr>
        <w:t>三、因公出国（境）费。安排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_GB2312"/>
          <w:sz w:val="32"/>
          <w:szCs w:val="32"/>
        </w:rPr>
        <w:t>万元，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较上年增加10</w:t>
      </w:r>
      <w:r>
        <w:rPr>
          <w:rFonts w:hint="eastAsia" w:ascii="仿宋" w:hAnsi="仿宋" w:eastAsia="仿宋_GB2312"/>
          <w:sz w:val="32"/>
          <w:szCs w:val="32"/>
        </w:rPr>
        <w:t>元，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较上年执行数减少1万元，降低9%，</w:t>
      </w:r>
      <w:r>
        <w:rPr>
          <w:rFonts w:hint="eastAsia" w:ascii="仿宋" w:hAnsi="仿宋" w:eastAsia="仿宋_GB2312"/>
          <w:color w:val="000000"/>
          <w:sz w:val="32"/>
          <w:szCs w:val="32"/>
          <w:highlight w:val="none"/>
          <w:lang w:val="en-US" w:eastAsia="zh-CN"/>
        </w:rPr>
        <w:t>主要原因是严格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贯彻落实中央八项规定，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厉行节约</w:t>
      </w:r>
      <w:r>
        <w:rPr>
          <w:rFonts w:ascii="仿宋_GB2312" w:hAnsi="宋体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lang w:val="en-US" w:eastAsia="zh-CN"/>
        </w:rPr>
        <w:t>严格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控制</w:t>
      </w:r>
      <w:r>
        <w:rPr>
          <w:rFonts w:hint="eastAsia" w:ascii="仿宋" w:hAnsi="仿宋" w:eastAsia="仿宋_GB2312"/>
          <w:sz w:val="32"/>
          <w:szCs w:val="32"/>
        </w:rPr>
        <w:t>因公出国（境）</w:t>
      </w:r>
      <w:r>
        <w:rPr>
          <w:rFonts w:hint="eastAsia" w:ascii="仿宋" w:hAnsi="仿宋" w:eastAsia="仿宋_GB2312"/>
          <w:sz w:val="32"/>
          <w:szCs w:val="32"/>
          <w:lang w:val="en-US" w:eastAsia="zh-CN"/>
        </w:rPr>
        <w:t>费用支出</w:t>
      </w:r>
      <w:r>
        <w:rPr>
          <w:rFonts w:hint="eastAsia" w:ascii="仿宋" w:hAnsi="仿宋" w:eastAsia="仿宋_GB2312"/>
          <w:sz w:val="32"/>
          <w:szCs w:val="32"/>
        </w:rPr>
        <w:t>。</w:t>
      </w:r>
    </w:p>
    <w:p w14:paraId="748316A2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2E03E57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ACF5B28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98FAEE1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1F23CB6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694B39EE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6BA5D59E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D1AB229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222CA25E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79D0189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4E30BBD5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A811882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0186A4BA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1C166EDF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1E4B744A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EF98A1A">
      <w:pPr>
        <w:pageBreakBefore w:val="0"/>
        <w:kinsoku/>
        <w:wordWrap/>
        <w:topLinePunct w:val="0"/>
        <w:bidi w:val="0"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政府预算举借债务情况说明</w:t>
      </w:r>
    </w:p>
    <w:p w14:paraId="45C3E51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</w:p>
    <w:p w14:paraId="1ED69B88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等相关规定要求，现将我县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政府预算举借债务安排情况进行如下说明：</w:t>
      </w:r>
    </w:p>
    <w:p w14:paraId="32425D6D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我县不断加强政府性债务管理，规范地方政府债务举借行为，严格控制债务风险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，202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3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年政府债务限额为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305824.09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万元，政府债务余额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299072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万元，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当年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100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%。其中政府一般债务限额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69524.09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万元，一般债务余额为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62772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万元，</w:t>
      </w:r>
      <w:r>
        <w:rPr>
          <w:rFonts w:hint="eastAsia" w:ascii="仿宋" w:hAnsi="仿宋" w:eastAsia="仿宋_GB2312" w:cs="仿宋"/>
          <w:sz w:val="32"/>
          <w:szCs w:val="32"/>
          <w:u w:val="none"/>
          <w:lang w:eastAsia="zh-CN"/>
        </w:rPr>
        <w:t>当年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100%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；政府专项债务限额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236300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万元，专项债券余额为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236300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万元，</w:t>
      </w:r>
      <w:r>
        <w:rPr>
          <w:rFonts w:hint="eastAsia" w:ascii="仿宋" w:hAnsi="仿宋" w:eastAsia="仿宋_GB2312" w:cs="仿宋"/>
          <w:sz w:val="32"/>
          <w:szCs w:val="32"/>
          <w:u w:val="none"/>
          <w:lang w:eastAsia="zh-CN"/>
        </w:rPr>
        <w:t>当年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限额使用比例</w:t>
      </w:r>
      <w:r>
        <w:rPr>
          <w:rFonts w:hint="eastAsia" w:ascii="仿宋" w:hAnsi="仿宋" w:eastAsia="仿宋_GB2312" w:cs="仿宋"/>
          <w:sz w:val="32"/>
          <w:szCs w:val="32"/>
          <w:u w:val="none"/>
          <w:lang w:val="en-US" w:eastAsia="zh-CN"/>
        </w:rPr>
        <w:t>100%</w:t>
      </w:r>
      <w:r>
        <w:rPr>
          <w:rFonts w:hint="eastAsia" w:ascii="仿宋" w:hAnsi="仿宋" w:eastAsia="仿宋_GB2312" w:cs="仿宋"/>
          <w:sz w:val="32"/>
          <w:szCs w:val="32"/>
          <w:u w:val="none"/>
        </w:rPr>
        <w:t>。结合我</w:t>
      </w:r>
      <w:r>
        <w:rPr>
          <w:rFonts w:hint="eastAsia" w:ascii="仿宋" w:hAnsi="仿宋" w:eastAsia="仿宋_GB2312" w:cs="仿宋"/>
          <w:sz w:val="32"/>
          <w:szCs w:val="32"/>
        </w:rPr>
        <w:t>县实际情况，统筹考虑我县综合财力，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年初预算</w:t>
      </w:r>
      <w:bookmarkStart w:id="3" w:name="_GoBack"/>
      <w:bookmarkEnd w:id="3"/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安排债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券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还本付息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付费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支出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10069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万元。其中：一般公共预算安排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10069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万元，包括支付政府一般债券利息及手续费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2136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，支付专项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债券利息及手续费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7933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万元。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确保按时足额偿还，切实防范政府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债务</w:t>
      </w:r>
      <w:r>
        <w:rPr>
          <w:rFonts w:hint="eastAsia" w:ascii="仿宋" w:hAnsi="仿宋" w:eastAsia="仿宋_GB2312" w:cs="仿宋"/>
          <w:sz w:val="32"/>
          <w:szCs w:val="32"/>
        </w:rPr>
        <w:t>风险。</w:t>
      </w:r>
    </w:p>
    <w:p w14:paraId="52459111">
      <w:pPr>
        <w:pageBreakBefore w:val="0"/>
        <w:kinsoku/>
        <w:wordWrap/>
        <w:topLinePunct w:val="0"/>
        <w:bidi w:val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58EAB666">
      <w:pPr>
        <w:pageBreakBefore w:val="0"/>
        <w:kinsoku/>
        <w:wordWrap/>
        <w:topLinePunct w:val="0"/>
        <w:bidi w:val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16DAB441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706E80DF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2F7FA285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29A9EEA2">
      <w:pPr>
        <w:pageBreakBefore w:val="0"/>
        <w:kinsoku/>
        <w:wordWrap/>
        <w:topLinePunct w:val="0"/>
        <w:bidi w:val="0"/>
        <w:spacing w:after="0"/>
        <w:ind w:firstLine="880" w:firstLineChars="200"/>
        <w:jc w:val="both"/>
        <w:rPr>
          <w:rFonts w:ascii="宋体" w:hAnsi="宋体"/>
          <w:sz w:val="44"/>
          <w:szCs w:val="44"/>
        </w:rPr>
      </w:pPr>
    </w:p>
    <w:p w14:paraId="7BF32949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3F56FC13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深泽县财政局</w:t>
      </w:r>
    </w:p>
    <w:p w14:paraId="4BAC3F74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关于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财政转移支付安排情况的</w:t>
      </w:r>
    </w:p>
    <w:p w14:paraId="5D735829">
      <w:pPr>
        <w:pageBreakBefore w:val="0"/>
        <w:kinsoku/>
        <w:wordWrap/>
        <w:topLinePunct w:val="0"/>
        <w:bidi w:val="0"/>
        <w:spacing w:after="0"/>
        <w:ind w:left="0" w:leftChars="0" w:firstLine="0" w:firstLineChars="0"/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  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 xml:space="preserve"> 明</w:t>
      </w:r>
    </w:p>
    <w:p w14:paraId="27467E0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和省市有关规定要求，现将我县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财政转移支付资金的安排情况进行如下说明：</w:t>
      </w:r>
    </w:p>
    <w:p w14:paraId="555C3720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一、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我县实行“统收统支”政策，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预算没有安排对下转移支付支出。</w:t>
      </w:r>
    </w:p>
    <w:p w14:paraId="7583E29E">
      <w:pPr>
        <w:pageBreakBefore w:val="0"/>
        <w:kinsoku/>
        <w:wordWrap/>
        <w:topLinePunct w:val="0"/>
        <w:bidi w:val="0"/>
        <w:spacing w:after="0" w:line="600" w:lineRule="exact"/>
        <w:ind w:firstLine="645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二、我县上级提前下达转移支付收入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105006</w:t>
      </w:r>
      <w:r>
        <w:rPr>
          <w:rFonts w:hint="eastAsia" w:ascii="仿宋" w:hAnsi="仿宋" w:eastAsia="仿宋_GB2312" w:cs="仿宋"/>
          <w:sz w:val="32"/>
          <w:szCs w:val="32"/>
        </w:rPr>
        <w:t>万元，全部安排入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预算，其中：税收返还补助8263万元，一般性转移支付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87673</w:t>
      </w:r>
      <w:r>
        <w:rPr>
          <w:rFonts w:hint="eastAsia" w:ascii="仿宋" w:hAnsi="仿宋" w:eastAsia="仿宋_GB2312" w:cs="仿宋"/>
          <w:sz w:val="32"/>
          <w:szCs w:val="32"/>
        </w:rPr>
        <w:t>万元,专项转移支付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9070</w:t>
      </w:r>
      <w:r>
        <w:rPr>
          <w:rFonts w:hint="eastAsia" w:ascii="仿宋" w:hAnsi="仿宋" w:eastAsia="仿宋_GB2312" w:cs="仿宋"/>
          <w:sz w:val="32"/>
          <w:szCs w:val="32"/>
        </w:rPr>
        <w:t>万元。</w:t>
      </w:r>
    </w:p>
    <w:p w14:paraId="1F5C9C1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（一）税收返还补助8263万元</w:t>
      </w:r>
    </w:p>
    <w:p w14:paraId="7FD04CE9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1.增值税税收返还收入1444万元</w:t>
      </w:r>
    </w:p>
    <w:p w14:paraId="36F0967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2.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省对下增值税税收返还5170万元</w:t>
      </w:r>
    </w:p>
    <w:p w14:paraId="7D2ED9A4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3.所得税基数返还收入652万元</w:t>
      </w:r>
    </w:p>
    <w:p w14:paraId="195E021F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4.成品油税费改革税收返还收入997万元</w:t>
      </w:r>
    </w:p>
    <w:p w14:paraId="784E5628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（二）专项转移支付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9070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33AAF97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（三）一般性转移支付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87673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7DEDA12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1.体制补助收入385万元</w:t>
      </w:r>
    </w:p>
    <w:p w14:paraId="36293D6C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2.均衡性转移支付补助收入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30541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397DCCDE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（1）固定基数补助971万元</w:t>
      </w:r>
    </w:p>
    <w:p w14:paraId="7CAC2805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农村义务教育绩效工资132万元</w:t>
      </w:r>
    </w:p>
    <w:p w14:paraId="5A52C717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乡镇卫生院绩效工资补助147万元</w:t>
      </w:r>
    </w:p>
    <w:p w14:paraId="6850291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质监系统市县机构下划经费基数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3999462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工商系统市县机构下划经费基数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593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079AC9C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（2）均衡性转移支付补助（财力性）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29570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DC46556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3.县级基本财力保障机制奖补资金收入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13143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98323D9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4.结算补助收入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558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673F66E9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5.产粮（油）大县奖励资金收入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1768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87D2A46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6.固定数额补助收入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5908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799E22F5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调整工资转移支付补助收入3419万元</w:t>
      </w:r>
    </w:p>
    <w:p w14:paraId="02268F7F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农村税费改革转移支付补助收入1939万元</w:t>
      </w:r>
    </w:p>
    <w:p w14:paraId="58672380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农村义务教育绩效工资转移支付353万元</w:t>
      </w:r>
    </w:p>
    <w:p w14:paraId="35DAC5D6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农村公共卫生与基层医疗卫生事业单位绩效工资转移支付57万元</w:t>
      </w:r>
    </w:p>
    <w:p w14:paraId="2C58D6D4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定额结算补助（退耕还林转移支付）44万元</w:t>
      </w:r>
    </w:p>
    <w:p w14:paraId="3B43F9CD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固定资产投资方向调节税减免补助96万元</w:t>
      </w:r>
    </w:p>
    <w:p w14:paraId="1504F4B9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7.革命老区转移支付收入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337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3FAA76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8.巩固脱贫攻坚成果衔接乡村振兴转移支付收入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884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3A922F2D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9.一般公共服务共同财政事权转移支付收入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73B9664A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10.公共安全共同财政事权转移支付收入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608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30CC882F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11.教育共同财政事权转移支付收入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5063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D337CA1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12.科学技术共同财政事权转移支付收入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34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268F5462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13.文化旅游体育与传媒共同财政事权转移支付收入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162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27555268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14.社会保障和就业共同财政事权转移支付收入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14229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85C034B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15.医疗卫生共同财政事权转移支付收入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2578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15D96C8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16.农林水共同财政事权转移支付收入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9662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4CE3D462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17.交通运输共同财政事权转移支付收入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172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FE3DD0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18.住房保障共同财政事权转移支付收入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178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01E61D77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hint="default" w:ascii="仿宋" w:hAnsi="仿宋" w:eastAsia="仿宋_GB2312" w:cs="仿宋"/>
          <w:sz w:val="32"/>
          <w:szCs w:val="32"/>
          <w:lang w:val="en-US"/>
        </w:rPr>
      </w:pP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19.灾害防治及应急管理共同财政事权转移支付收入283万元</w:t>
      </w:r>
    </w:p>
    <w:p w14:paraId="2D76585C">
      <w:pPr>
        <w:pageBreakBefore w:val="0"/>
        <w:widowControl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20.</w:t>
      </w:r>
      <w:r>
        <w:rPr>
          <w:rFonts w:hint="eastAsia" w:ascii="仿宋" w:hAnsi="仿宋" w:eastAsia="仿宋_GB2312" w:cs="仿宋"/>
          <w:sz w:val="32"/>
          <w:szCs w:val="32"/>
        </w:rPr>
        <w:t>其他一般性转移支付收入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1128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</w:p>
    <w:p w14:paraId="14D47902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_GB2312" w:cs="仿宋"/>
          <w:color w:val="auto"/>
          <w:sz w:val="32"/>
          <w:szCs w:val="32"/>
        </w:rPr>
      </w:pPr>
      <w:r>
        <w:rPr>
          <w:rFonts w:hint="eastAsia" w:ascii="仿宋" w:hAnsi="仿宋" w:eastAsia="仿宋_GB2312" w:cs="仿宋"/>
          <w:color w:val="auto"/>
          <w:sz w:val="32"/>
          <w:szCs w:val="32"/>
        </w:rPr>
        <w:t>2024年是新中国成立75周年，是实现“十四五”规划目标任务的关键一年，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是全面贯彻落实党的二十大精神的关键之年，也是推动全市经济总量过万亿，实现弯道超车的冲刺之年、决胜之年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做好财政工作意义重大、责任重大。</w:t>
      </w:r>
      <w:r>
        <w:rPr>
          <w:rFonts w:hint="eastAsia" w:ascii="仿宋" w:hAnsi="仿宋" w:eastAsia="仿宋_GB2312" w:cs="仿宋"/>
          <w:b w:val="0"/>
          <w:bCs w:val="0"/>
          <w:color w:val="auto"/>
          <w:sz w:val="32"/>
          <w:szCs w:val="32"/>
        </w:rPr>
        <w:t>财政预算编制的指导思想是：以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习近平新时代中国特色社会主义思想为指导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深入贯彻党的二十大和二十届二中全会精神，全面贯彻习近平总书记视察河北、视察石家庄重要讲话和重要指示精神，以及中央经济工作会议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全国财政工作会议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精神，省委十届五次全会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省委经济工作会议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和全省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财政工作会议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精神，市委十一届六次全会、市委经济工作会议和县委十二届五次全会部署要求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坚持稳中求进工作总基调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完整、准确、全面贯彻新发展理念，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聚焦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经济建设这一中心工作和高质量发展这一首要任务，更好统筹发展和安全，全面落实积极的财政政策，深化预算管理制度改革，促进预算绩效管理提质增效，加强财政资源统筹，树牢过“紧日子”思想，持续强化资金管理，提高财政支出的精准性、有效性，防范化解财政风险，保持社会大局稳定，为建设“小而精、小而美”魅力深泽提供财政支撑。</w:t>
      </w:r>
    </w:p>
    <w:p w14:paraId="1FB3D5D4">
      <w:pPr>
        <w:keepNext w:val="0"/>
        <w:keepLines w:val="0"/>
        <w:pageBreakBefore w:val="0"/>
        <w:widowControl w:val="0"/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before="0" w:beforeLines="0" w:after="0" w:afterLines="0" w:line="560" w:lineRule="exact"/>
        <w:ind w:left="0" w:leftChars="0" w:right="0" w:rightChars="0" w:firstLine="640" w:firstLineChars="200"/>
        <w:contextualSpacing/>
        <w:jc w:val="both"/>
        <w:textAlignment w:val="baseline"/>
        <w:outlineLvl w:val="9"/>
        <w:rPr>
          <w:rFonts w:ascii="仿宋_GB2312" w:hAnsi="仿宋_GB2312" w:eastAsia="仿宋_GB2312" w:cs="仿宋_GB2312"/>
          <w:color w:val="auto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基于以上指导思想，今年的预算编制遵循了“依法理财、强化统筹、讲求绩效、优化结构、厉行节约、防范风险”的原则。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一是依法理财。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全面落实《预算法》《预算法实施条例》等法律法规以及中央和省、市、县各项政策要求，规范理财行为。加强财政收支管理，严格执行支出标准和范围，硬化预算刚性约束，加强资金监督管理，着力推进预算公开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二是强化统筹。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加大政府预算统筹力度，将本级收入、上级补助、调入资金、政府债务收入，以及清理盘活的存量资金资产等全部纳入政府预算范围。强化存量资源统筹使用，盘活财政存量资金，强化资产配置与资产使用、处置的统筹管理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三是讲求绩效。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牢固树立绩效意识，推进全面实施预算绩效管理，加快构建全方位、全过程、全覆盖的预算绩效管理体系。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落实部门和单位预算绩效管理主体责任，科学设定部门整体绩效目标、专项资金绩效目标和预算项目绩效目标，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实施新增重大政策和项目事前绩效评估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加强绩效评价结果与预算安排的有机衔接，坚决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削减无效、低效支出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四是优化结构。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预算安排要统筹兼顾、突出重点，区分支出事项的轻重缓急，合理确定保障重点和保障顺序。要做好“三保”工作，着力保障城市更新、推动现代化产业发展、乡村振兴、生态环境治理等重点工作开展。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五是厉行节约。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坚持艰苦奋斗、勤俭节约，毫不动摇坚持过紧日子，把有限的资金用到“刀刃”上，更好保障重大决策部署落实。坚持尽力而为、量力而行，支出政策、资金安排与经济发展相协调，与财力状况相匹配，确保财政可持续。</w:t>
      </w:r>
      <w:r>
        <w:rPr>
          <w:rFonts w:hint="eastAsia" w:ascii="楷体_GB2312" w:hAnsi="楷体_GB2312" w:eastAsia="楷体_GB2312"/>
          <w:b/>
          <w:bCs/>
          <w:color w:val="auto"/>
          <w:kern w:val="0"/>
          <w:sz w:val="32"/>
          <w:szCs w:val="32"/>
        </w:rPr>
        <w:t>六是防范风险。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  <w:t>一步加强政府债务管理，将政府债务收支全部纳入预算管理，依法依规使用地方债券资金，认真落实债务风险化解年度任务，坚决遏制政府隐性债务增量，确保不发生区域性系统性风险。</w:t>
      </w:r>
    </w:p>
    <w:p w14:paraId="495E2592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none" w:color="FFFFFF" w:sz="0" w:space="29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580" w:lineRule="exact"/>
        <w:ind w:left="0" w:leftChars="0" w:right="0" w:rightChars="0" w:firstLine="640" w:firstLineChars="200"/>
        <w:contextualSpacing/>
        <w:jc w:val="both"/>
        <w:textAlignment w:val="baseline"/>
        <w:outlineLvl w:val="9"/>
        <w:rPr>
          <w:rFonts w:hint="eastAsia"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通过规范合理使用一般性转移资金，确保全县公教人员工资的足额发放和机关事业的正常运转，确保重点项目支出，确保一般性转移资金使用安全、高效，发挥最大资金使用效益。</w:t>
      </w:r>
    </w:p>
    <w:p w14:paraId="25C024BD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none" w:color="FFFFFF" w:sz="0" w:space="29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line="580" w:lineRule="exact"/>
        <w:ind w:left="0" w:leftChars="0" w:right="0" w:rightChars="0" w:firstLine="640" w:firstLineChars="200"/>
        <w:contextualSpacing/>
        <w:jc w:val="both"/>
        <w:textAlignment w:val="baseline"/>
        <w:outlineLvl w:val="9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（二）专项转移支付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2924</w:t>
      </w:r>
      <w:r>
        <w:rPr>
          <w:rFonts w:hint="eastAsia" w:ascii="仿宋" w:hAnsi="仿宋" w:eastAsia="仿宋_GB2312" w:cs="仿宋"/>
          <w:sz w:val="32"/>
          <w:szCs w:val="32"/>
        </w:rPr>
        <w:t>万元。其中：卫生健康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_GB2312" w:cs="仿宋"/>
          <w:sz w:val="32"/>
          <w:szCs w:val="32"/>
        </w:rPr>
        <w:t>万元；节能环保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1586</w:t>
      </w:r>
      <w:r>
        <w:rPr>
          <w:rFonts w:hint="eastAsia" w:ascii="仿宋" w:hAnsi="仿宋" w:eastAsia="仿宋_GB2312" w:cs="仿宋"/>
          <w:sz w:val="32"/>
          <w:szCs w:val="32"/>
        </w:rPr>
        <w:t>万元；农林水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1192</w:t>
      </w:r>
      <w:r>
        <w:rPr>
          <w:rFonts w:hint="eastAsia" w:ascii="仿宋" w:hAnsi="仿宋" w:eastAsia="仿宋_GB2312" w:cs="仿宋"/>
          <w:sz w:val="32"/>
          <w:szCs w:val="32"/>
        </w:rPr>
        <w:t>万元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；资源勘探工业信息等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106万元</w:t>
      </w:r>
      <w:r>
        <w:rPr>
          <w:rFonts w:hint="eastAsia" w:ascii="仿宋" w:hAnsi="仿宋" w:eastAsia="仿宋_GB2312" w:cs="仿宋"/>
          <w:sz w:val="32"/>
          <w:szCs w:val="32"/>
        </w:rPr>
        <w:t>。专项转移支付严格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按照</w:t>
      </w:r>
      <w:r>
        <w:rPr>
          <w:rFonts w:hint="eastAsia" w:ascii="仿宋" w:hAnsi="仿宋" w:eastAsia="仿宋_GB2312" w:cs="仿宋"/>
          <w:sz w:val="32"/>
          <w:szCs w:val="32"/>
        </w:rPr>
        <w:t>文件要求安排支出，并细化到了具体项目，确保专款专用，提高专项转移资金使用绩效。</w:t>
      </w:r>
    </w:p>
    <w:p w14:paraId="022F2B76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171B81AB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6D6BF661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0B2B4C37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40BBB494">
      <w:pPr>
        <w:pageBreakBefore w:val="0"/>
        <w:kinsoku/>
        <w:wordWrap/>
        <w:topLinePunct w:val="0"/>
        <w:bidi w:val="0"/>
        <w:jc w:val="both"/>
        <w:rPr>
          <w:rFonts w:ascii="宋体" w:hAnsi="宋体" w:cs="宋体"/>
          <w:sz w:val="36"/>
          <w:szCs w:val="36"/>
        </w:rPr>
      </w:pPr>
    </w:p>
    <w:p w14:paraId="6CBE1019">
      <w:pPr>
        <w:pageBreakBefore w:val="0"/>
        <w:kinsoku/>
        <w:wordWrap/>
        <w:topLinePunct w:val="0"/>
        <w:bidi w:val="0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政府采购预算情况说明</w:t>
      </w:r>
    </w:p>
    <w:p w14:paraId="64CF185B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color w:val="000000"/>
        </w:rPr>
      </w:pP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_GB2312"/>
          <w:sz w:val="32"/>
          <w:szCs w:val="32"/>
        </w:rPr>
        <w:t>，我县认真贯彻《中华人民共和国政府采购法》和《中华人民共和国招标投标法》等法律法规，按要求同步编制政府采购预算，对符合采购目录和政府采购限额标准的，按照“应编尽编、应采尽采”原则，编列政府采购预算。</w:t>
      </w: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_GB2312"/>
          <w:sz w:val="32"/>
          <w:szCs w:val="32"/>
        </w:rPr>
        <w:t>政府采购预算资金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8995</w:t>
      </w:r>
      <w:r>
        <w:rPr>
          <w:rFonts w:hint="eastAsia" w:ascii="仿宋" w:hAnsi="仿宋" w:eastAsia="仿宋_GB2312" w:cs="仿宋_GB2312"/>
          <w:sz w:val="32"/>
          <w:szCs w:val="32"/>
        </w:rPr>
        <w:t>万元，按采购类别分：货物类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2615</w:t>
      </w:r>
      <w:r>
        <w:rPr>
          <w:rFonts w:hint="eastAsia" w:ascii="仿宋" w:hAnsi="仿宋" w:eastAsia="仿宋_GB2312" w:cs="仿宋_GB2312"/>
          <w:sz w:val="32"/>
          <w:szCs w:val="32"/>
        </w:rPr>
        <w:t>万元，工程类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6165</w:t>
      </w:r>
      <w:r>
        <w:rPr>
          <w:rFonts w:hint="eastAsia" w:ascii="仿宋" w:hAnsi="仿宋" w:eastAsia="仿宋_GB2312" w:cs="仿宋_GB2312"/>
          <w:sz w:val="32"/>
          <w:szCs w:val="32"/>
        </w:rPr>
        <w:t>万元，服务类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215</w:t>
      </w:r>
      <w:r>
        <w:rPr>
          <w:rFonts w:hint="eastAsia" w:ascii="仿宋" w:hAnsi="仿宋" w:eastAsia="仿宋_GB2312" w:cs="仿宋_GB2312"/>
          <w:sz w:val="32"/>
          <w:szCs w:val="32"/>
        </w:rPr>
        <w:t>万元。按资金来源性质分：一般公共预算拨款安排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8571</w:t>
      </w:r>
      <w:r>
        <w:rPr>
          <w:rFonts w:hint="eastAsia" w:ascii="仿宋" w:hAnsi="仿宋" w:eastAsia="仿宋_GB2312" w:cs="仿宋_GB2312"/>
          <w:sz w:val="32"/>
          <w:szCs w:val="32"/>
        </w:rPr>
        <w:t>万元</w:t>
      </w:r>
      <w:r>
        <w:rPr>
          <w:rFonts w:hint="eastAsia" w:ascii="仿宋" w:hAnsi="仿宋" w:eastAsia="仿宋_GB2312" w:cs="仿宋_GB2312"/>
          <w:sz w:val="32"/>
          <w:szCs w:val="32"/>
          <w:lang w:eastAsia="zh-CN"/>
        </w:rPr>
        <w:t>，政府性基金预算拨款安排</w:t>
      </w:r>
      <w:r>
        <w:rPr>
          <w:rFonts w:hint="eastAsia" w:ascii="仿宋" w:hAnsi="仿宋" w:eastAsia="仿宋_GB2312" w:cs="仿宋_GB2312"/>
          <w:sz w:val="32"/>
          <w:szCs w:val="32"/>
          <w:lang w:val="en-US" w:eastAsia="zh-CN"/>
        </w:rPr>
        <w:t>424万元</w:t>
      </w:r>
      <w:r>
        <w:rPr>
          <w:rFonts w:hint="eastAsia" w:ascii="仿宋" w:hAnsi="仿宋" w:eastAsia="仿宋_GB2312" w:cs="仿宋_GB2312"/>
          <w:sz w:val="32"/>
          <w:szCs w:val="32"/>
        </w:rPr>
        <w:t>。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县级政府采购限额标准为：单项或批量采购预算金额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货物和服务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达到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万元（含）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、工程达到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60万元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（含）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以上的，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进行政府采购；公开招标限额标准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货物和服务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00万元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、工程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400万元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。</w:t>
      </w:r>
    </w:p>
    <w:p w14:paraId="02344FD8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both"/>
        <w:rPr>
          <w:rFonts w:ascii="宋体" w:hAnsi="宋体"/>
        </w:rPr>
      </w:pPr>
      <w:bookmarkStart w:id="0" w:name="_Toc440095395"/>
      <w:bookmarkStart w:id="1" w:name="_Toc377280980"/>
      <w:bookmarkStart w:id="2" w:name="_Toc409082541"/>
    </w:p>
    <w:p w14:paraId="13320534">
      <w:pPr>
        <w:pageBreakBefore w:val="0"/>
        <w:kinsoku/>
        <w:wordWrap/>
        <w:topLinePunct w:val="0"/>
        <w:bidi w:val="0"/>
        <w:jc w:val="both"/>
        <w:rPr>
          <w:rFonts w:ascii="宋体" w:hAnsi="宋体"/>
        </w:rPr>
      </w:pPr>
    </w:p>
    <w:p w14:paraId="6AD30DCB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both"/>
        <w:rPr>
          <w:rFonts w:ascii="宋体" w:hAnsi="宋体" w:eastAsia="宋体" w:cs="宋体"/>
        </w:rPr>
      </w:pPr>
    </w:p>
    <w:p w14:paraId="0B27BAC6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04329606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127D3989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13DC5D3F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21AAB24D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30FDFDBF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5381D5A1">
      <w:pPr>
        <w:pageBreakBefore w:val="0"/>
        <w:kinsoku/>
        <w:wordWrap/>
        <w:topLinePunct w:val="0"/>
        <w:bidi w:val="0"/>
        <w:jc w:val="both"/>
        <w:rPr>
          <w:rFonts w:ascii="宋体" w:hAnsi="宋体" w:eastAsia="宋体" w:cs="宋体"/>
        </w:rPr>
      </w:pPr>
    </w:p>
    <w:p w14:paraId="1281CFC2">
      <w:pPr>
        <w:pStyle w:val="2"/>
        <w:keepNext w:val="0"/>
        <w:keepLines w:val="0"/>
        <w:pageBreakBefore w:val="0"/>
        <w:kinsoku/>
        <w:wordWrap/>
        <w:topLinePunct w:val="0"/>
        <w:bidi w:val="0"/>
        <w:spacing w:line="240" w:lineRule="auto"/>
        <w:jc w:val="center"/>
        <w:rPr>
          <w:rFonts w:hint="eastAsia" w:ascii="方正小标宋_GBK" w:hAnsi="方正小标宋_GBK" w:eastAsia="方正小标宋_GBK" w:cs="方正小标宋_GBK"/>
          <w:b w:val="0"/>
          <w:bCs w:val="0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</w:rPr>
        <w:t>预算绩效工作开展情况说明</w:t>
      </w:r>
      <w:bookmarkEnd w:id="0"/>
      <w:bookmarkEnd w:id="1"/>
      <w:bookmarkEnd w:id="2"/>
    </w:p>
    <w:p w14:paraId="1F699F45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/>
          <w:sz w:val="32"/>
          <w:szCs w:val="32"/>
          <w:highlight w:val="none"/>
        </w:rPr>
        <w:t>全面实施预算绩效管理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是党中央、国务院作出的重大战略部署。中共中央、国务院《关于全面实施预算绩效管理的意见》提出“</w:t>
      </w:r>
      <w:r>
        <w:rPr>
          <w:rFonts w:hint="eastAsia" w:ascii="仿宋" w:hAnsi="仿宋" w:eastAsia="仿宋_GB2312"/>
          <w:sz w:val="32"/>
          <w:szCs w:val="32"/>
          <w:highlight w:val="none"/>
        </w:rPr>
        <w:t>全面实施预算绩效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管理是推动国家治理体系和治理能力现代化的内在要求，是深化财税体制改革、建立现代财政制度的重要内容，是优化财政资源配置、提升公共服务质量的关键举措，是推动党中央、国务院重大方针政策落地见效的重要保障。”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》规定“各部门、各单位应当按照国务院财政部门制定的政府收支分类科目、预算支出标准和要求，以及绩效目标管理等预算编制规定，根据其依法履行职能和事业发展的需要以及存量资产情况，编制本部门、本单位预算草案”。</w:t>
      </w:r>
    </w:p>
    <w:p w14:paraId="569C3549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/>
          <w:sz w:val="32"/>
          <w:szCs w:val="32"/>
          <w:highlight w:val="none"/>
        </w:rPr>
        <w:t>为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更好</w:t>
      </w:r>
      <w:r>
        <w:rPr>
          <w:rFonts w:hint="eastAsia" w:ascii="仿宋" w:hAnsi="仿宋" w:eastAsia="仿宋_GB2312"/>
          <w:sz w:val="32"/>
          <w:szCs w:val="32"/>
          <w:highlight w:val="none"/>
        </w:rPr>
        <w:t>落实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中共中央、国务院《关于全面实施预算绩效管理的意见》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预算法》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《关于进一步深化预算管理改革的实施意见》</w:t>
      </w:r>
      <w:r>
        <w:rPr>
          <w:rFonts w:hint="eastAsia" w:ascii="仿宋" w:hAnsi="仿宋" w:eastAsia="仿宋_GB2312"/>
          <w:sz w:val="32"/>
          <w:szCs w:val="32"/>
          <w:highlight w:val="none"/>
        </w:rPr>
        <w:t>《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中华人民共和国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预算法实施条例》相关规定，按照顶层设计和统一部署</w:t>
      </w:r>
      <w:r>
        <w:rPr>
          <w:rFonts w:hint="eastAsia" w:ascii="仿宋" w:hAnsi="仿宋" w:eastAsia="仿宋_GB2312"/>
          <w:sz w:val="32"/>
          <w:highlight w:val="none"/>
        </w:rPr>
        <w:t>，</w:t>
      </w:r>
      <w:r>
        <w:rPr>
          <w:rFonts w:hint="eastAsia" w:ascii="仿宋" w:hAnsi="仿宋" w:eastAsia="仿宋_GB2312"/>
          <w:sz w:val="32"/>
          <w:szCs w:val="32"/>
          <w:highlight w:val="none"/>
        </w:rPr>
        <w:t>在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编制过程中，围绕建立“预算编制有目标、预算执行有监控、预算完成有评价、评价结果有反馈、反馈结果有应用”的预算绩效管理机制，统筹规划、强化措施、创新机制，全面实施预算绩效管理，建成全方位、全过程、全覆盖的预算绩效管理体系，以绩效目标为引领，进一步规范预算绩效编制，编制质量不断提高。</w:t>
      </w:r>
    </w:p>
    <w:p w14:paraId="2175D98E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一、绩效目标编制的原则</w:t>
      </w:r>
    </w:p>
    <w:p w14:paraId="6536C2B5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（一）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完整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性原则。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内容要完整、准确、详实，不得缺项、漏项。</w:t>
      </w:r>
    </w:p>
    <w:p w14:paraId="51672A6D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）相关性原则。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的设置</w:t>
      </w:r>
      <w:r>
        <w:rPr>
          <w:rFonts w:hint="eastAsia" w:ascii="仿宋" w:hAnsi="仿宋" w:eastAsia="仿宋_GB2312"/>
          <w:sz w:val="32"/>
          <w:szCs w:val="32"/>
          <w:highlight w:val="none"/>
        </w:rPr>
        <w:t>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与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部门职能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县委县政府重大决策部署、</w:t>
      </w:r>
      <w:r>
        <w:rPr>
          <w:rFonts w:hint="eastAsia" w:ascii="仿宋" w:hAnsi="仿宋" w:eastAsia="仿宋_GB2312"/>
          <w:sz w:val="32"/>
          <w:szCs w:val="32"/>
          <w:highlight w:val="none"/>
        </w:rPr>
        <w:t>事业发展规划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和工作计划密切相关</w:t>
      </w:r>
      <w:r>
        <w:rPr>
          <w:rFonts w:hint="eastAsia" w:ascii="仿宋" w:hAnsi="仿宋" w:eastAsia="仿宋_GB2312"/>
          <w:sz w:val="32"/>
          <w:szCs w:val="32"/>
          <w:highlight w:val="none"/>
        </w:rPr>
        <w:t>，与相应的财政支出范围、方向、效益和效果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等相匹配</w:t>
      </w:r>
      <w:r>
        <w:rPr>
          <w:rFonts w:hint="eastAsia" w:ascii="仿宋" w:hAnsi="仿宋" w:eastAsia="仿宋_GB2312"/>
          <w:sz w:val="32"/>
          <w:szCs w:val="32"/>
          <w:highlight w:val="none"/>
        </w:rPr>
        <w:t>。</w:t>
      </w:r>
    </w:p>
    <w:p w14:paraId="3AABF6D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）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val="en-US" w:eastAsia="zh-CN"/>
        </w:rPr>
        <w:t>适当性</w:t>
      </w: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原则。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与资金规模、使用方向等相匹配，在既定资金规模下，绩效目标不能过高或过低，或者完成既定目标，资金规模不能过大或过小；预计绩效要符合行业正常水平或事业发展规律，与同类项目相比，预计绩效要正常合理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要对项目做什么和要达到的效果有具体明确的说明，并从数量、质量、成本和时效等方面进行细化，便于考核。</w:t>
      </w:r>
    </w:p>
    <w:p w14:paraId="5AD33C34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（三）可行性原则</w:t>
      </w:r>
      <w:r>
        <w:rPr>
          <w:rFonts w:hint="eastAsia" w:ascii="楷体" w:hAnsi="楷体" w:eastAsia="楷体_GB2312" w:cs="楷体"/>
          <w:b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绩效目标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要经过充分</w:t>
      </w:r>
      <w:r>
        <w:rPr>
          <w:rFonts w:hint="eastAsia" w:ascii="仿宋" w:hAnsi="仿宋" w:eastAsia="仿宋_GB2312"/>
          <w:sz w:val="32"/>
          <w:szCs w:val="32"/>
          <w:highlight w:val="none"/>
        </w:rPr>
        <w:t>论证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和合理测算，采取的措施要切实可行，能确保绩效目标如期实现</w:t>
      </w:r>
      <w:r>
        <w:rPr>
          <w:rFonts w:hint="eastAsia" w:ascii="仿宋" w:hAnsi="仿宋" w:eastAsia="仿宋_GB2312"/>
          <w:sz w:val="32"/>
          <w:szCs w:val="32"/>
          <w:highlight w:val="none"/>
        </w:rPr>
        <w:t>。</w:t>
      </w:r>
    </w:p>
    <w:p w14:paraId="088FF555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二、绩效目标编制内容和程序</w:t>
      </w:r>
    </w:p>
    <w:p w14:paraId="66E7301E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（一）绩效目标编制内容</w:t>
      </w:r>
      <w:r>
        <w:rPr>
          <w:rFonts w:hint="eastAsia" w:ascii="楷体" w:hAnsi="楷体" w:eastAsia="楷体" w:cs="楷体"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部门预算总体绩效目标及确保完成绩效目标的措施，列入部门预算的专项项目绩效目标和指标，绩效指标细分为预期产出指标和成果指标。预算绩效目标全部编入部门预算文本。</w:t>
      </w:r>
    </w:p>
    <w:p w14:paraId="756B6494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（二）绩效目标编制程序。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根据</w:t>
      </w:r>
      <w:r>
        <w:rPr>
          <w:rFonts w:hint="eastAsia" w:ascii="仿宋" w:hAnsi="仿宋" w:eastAsia="仿宋_GB2312"/>
          <w:sz w:val="32"/>
          <w:szCs w:val="32"/>
          <w:highlight w:val="none"/>
          <w:lang w:eastAsia="zh-CN"/>
        </w:rPr>
        <w:t>2024年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预算绩效管理改革的要求，做到绩效目标编制与预算编制“三个同步”。</w:t>
      </w:r>
    </w:p>
    <w:p w14:paraId="5FBC4310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1.同步申报绩效目标。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部署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2024年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预算编制工作时，要求部门在预算申报中，同步申报项目支出绩效目标。</w:t>
      </w:r>
    </w:p>
    <w:p w14:paraId="6311E677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2.同步审核绩效目标</w:t>
      </w:r>
      <w:r>
        <w:rPr>
          <w:rFonts w:hint="eastAsia" w:ascii="仿宋" w:hAnsi="仿宋" w:eastAsia="仿宋_GB2312"/>
          <w:b/>
          <w:bCs/>
          <w:sz w:val="32"/>
          <w:szCs w:val="32"/>
          <w:highlight w:val="none"/>
        </w:rPr>
        <w:t>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县财政局在审核预算时，首先对部门申报的绩效目标进行审核，对没有绩效目标，或绩效目标不完整的，由部门补充、完善。对低绩效、无绩效项目，不予安排预算。</w:t>
      </w:r>
    </w:p>
    <w:p w14:paraId="4853069A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3.同步批复绩效目标。</w:t>
      </w:r>
      <w:r>
        <w:rPr>
          <w:rFonts w:hint="eastAsia" w:ascii="仿宋" w:hAnsi="仿宋" w:eastAsia="仿宋_GB2312"/>
          <w:sz w:val="32"/>
          <w:szCs w:val="32"/>
          <w:highlight w:val="none"/>
        </w:rPr>
        <w:t>将审核后的绩效目标编入部门预算文本，预算经人大审查批准后，将绩效目标随部门预算一同批复。</w:t>
      </w:r>
    </w:p>
    <w:p w14:paraId="5C1E67FB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outlineLvl w:val="9"/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.同步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  <w:lang w:val="en-US" w:eastAsia="zh-CN"/>
        </w:rPr>
        <w:t>公开</w:t>
      </w:r>
      <w:r>
        <w:rPr>
          <w:rFonts w:hint="eastAsia" w:ascii="仿宋" w:hAnsi="仿宋" w:eastAsia="仿宋_GB2312" w:cs="仿宋"/>
          <w:b/>
          <w:bCs/>
          <w:sz w:val="32"/>
          <w:szCs w:val="32"/>
          <w:highlight w:val="none"/>
        </w:rPr>
        <w:t>绩效目标。</w:t>
      </w:r>
      <w:r>
        <w:rPr>
          <w:rFonts w:hint="eastAsia" w:ascii="仿宋" w:hAnsi="仿宋" w:eastAsia="仿宋_GB2312"/>
          <w:sz w:val="32"/>
          <w:szCs w:val="32"/>
          <w:highlight w:val="none"/>
          <w:lang w:val="en-US" w:eastAsia="zh-CN"/>
        </w:rPr>
        <w:t>各部门在规定时限内，在门户网站将绩效目标向社会公开。同时作为部门预算执行绩效监控、绩效评价的依据。</w:t>
      </w:r>
    </w:p>
    <w:p w14:paraId="503727F8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rPr>
          <w:rFonts w:hint="eastAsia" w:ascii="仿宋" w:hAnsi="仿宋" w:eastAsia="仿宋_GB2312"/>
          <w:sz w:val="32"/>
          <w:szCs w:val="32"/>
          <w:highlight w:val="none"/>
        </w:rPr>
      </w:pPr>
      <w:r>
        <w:rPr>
          <w:rFonts w:hint="eastAsia" w:ascii="楷体" w:hAnsi="楷体" w:eastAsia="楷体" w:cs="楷体"/>
          <w:b/>
          <w:sz w:val="32"/>
          <w:szCs w:val="32"/>
          <w:highlight w:val="none"/>
        </w:rPr>
        <w:t>（三）绩效目标编制成果</w:t>
      </w:r>
      <w:r>
        <w:rPr>
          <w:rFonts w:hint="eastAsia" w:ascii="楷体" w:hAnsi="楷体" w:eastAsia="楷体" w:cs="楷体"/>
          <w:b/>
          <w:sz w:val="32"/>
          <w:szCs w:val="32"/>
          <w:highlight w:val="none"/>
          <w:lang w:eastAsia="zh-CN"/>
        </w:rPr>
        <w:t>。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5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个预算部门全部编制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eastAsia="zh-CN"/>
        </w:rPr>
        <w:t>2024年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预算支出总体绩效目标及具体措施。共有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  <w:lang w:val="en-US" w:eastAsia="zh-CN"/>
        </w:rPr>
        <w:t>583</w:t>
      </w:r>
      <w:r>
        <w:rPr>
          <w:rFonts w:hint="eastAsia" w:ascii="仿宋" w:hAnsi="仿宋" w:eastAsia="仿宋_GB2312"/>
          <w:color w:val="auto"/>
          <w:sz w:val="32"/>
          <w:szCs w:val="32"/>
          <w:highlight w:val="none"/>
        </w:rPr>
        <w:t>个</w:t>
      </w:r>
      <w:r>
        <w:rPr>
          <w:rFonts w:hint="eastAsia" w:ascii="仿宋" w:hAnsi="仿宋" w:eastAsia="仿宋_GB2312"/>
          <w:sz w:val="32"/>
          <w:szCs w:val="32"/>
          <w:highlight w:val="none"/>
        </w:rPr>
        <w:t>预算项目编制了绩效目标指标并通过了绩效审核，全部编入部门预算文本。</w:t>
      </w:r>
    </w:p>
    <w:p w14:paraId="2B2F0317">
      <w:pPr>
        <w:pageBreakBefore w:val="0"/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/>
        <w:jc w:val="both"/>
        <w:rPr>
          <w:rFonts w:hint="eastAsia" w:ascii="仿宋_GB2312" w:eastAsia="仿宋_GB2312"/>
          <w:b/>
          <w:bCs/>
          <w:sz w:val="48"/>
          <w:szCs w:val="48"/>
          <w:highlight w:val="none"/>
        </w:rPr>
      </w:pPr>
    </w:p>
    <w:p w14:paraId="6C9FF3B7">
      <w:pPr>
        <w:pageBreakBefore w:val="0"/>
        <w:kinsoku/>
        <w:wordWrap/>
        <w:topLinePunct w:val="0"/>
        <w:bidi w:val="0"/>
        <w:jc w:val="both"/>
        <w:rPr>
          <w:rFonts w:hint="eastAsia" w:ascii="仿宋_GB2312" w:eastAsia="仿宋_GB2312"/>
          <w:b/>
          <w:bCs/>
          <w:sz w:val="48"/>
          <w:szCs w:val="48"/>
          <w:highlight w:val="none"/>
        </w:rPr>
      </w:pPr>
    </w:p>
    <w:p w14:paraId="5192986E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5BD01778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35FC8F78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20C313A8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</w:pPr>
    </w:p>
    <w:p w14:paraId="1AAEC42A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宋体" w:hAnsi="宋体" w:eastAsia="宋体" w:cs="宋体"/>
          <w:b/>
          <w:bCs/>
          <w:sz w:val="44"/>
          <w:szCs w:val="44"/>
        </w:rPr>
        <w:sectPr>
          <w:pgSz w:w="11906" w:h="16838"/>
          <w:pgMar w:top="1440" w:right="1644" w:bottom="1440" w:left="1644" w:header="708" w:footer="709" w:gutter="0"/>
          <w:cols w:space="0" w:num="1"/>
          <w:docGrid w:type="lines" w:linePitch="360" w:charSpace="0"/>
        </w:sectPr>
      </w:pPr>
    </w:p>
    <w:p w14:paraId="48D24662">
      <w:pPr>
        <w:pageBreakBefore w:val="0"/>
        <w:kinsoku/>
        <w:wordWrap/>
        <w:topLinePunct w:val="0"/>
        <w:bidi w:val="0"/>
        <w:spacing w:before="0" w:after="0"/>
        <w:jc w:val="center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32"/>
          <w:lang w:val="en-US" w:eastAsia="zh-CN"/>
        </w:rPr>
        <w:t>深泽县2024年重大政策和重点项目等绩效目标</w:t>
      </w:r>
    </w:p>
    <w:p w14:paraId="0FD22389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</w:rPr>
        <w:t>.2024年城乡居民基本养老保险中央财政补助经费（冀财社[2023]188号）绩效目标表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2114"/>
        <w:gridCol w:w="2114"/>
        <w:gridCol w:w="2114"/>
      </w:tblGrid>
      <w:tr w14:paraId="36BCAF1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798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7814D926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2A63A0E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D7185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038E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13012824P00002110006K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EFD4C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342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C1CD6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2024年城乡居民基本养老保险中央财政补助经费（冀财社[2023]188号）</w:t>
            </w:r>
          </w:p>
        </w:tc>
      </w:tr>
      <w:tr w14:paraId="2E2F843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BD42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B020C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4AD051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5980.00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912B2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    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3DC3A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5980.00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2268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8FB0B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744EEBD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1152C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E72EF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用于城乡居民基本养老保险中央基础养老金支出。</w:t>
            </w:r>
          </w:p>
        </w:tc>
      </w:tr>
      <w:tr w14:paraId="2412C94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6B0B1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B099B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ED2EE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BB6D2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ACC6C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458451F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73BB7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75A7B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1495.00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92176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2990.00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2BD17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4485.00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290CB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5980.00</w:t>
            </w:r>
          </w:p>
        </w:tc>
      </w:tr>
      <w:tr w14:paraId="0BCC7E4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4BDE29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3DEB8CC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1.确保符合条件的城乡老年居民基础养老金按时足额发放。</w:t>
            </w:r>
          </w:p>
        </w:tc>
      </w:tr>
    </w:tbl>
    <w:p w14:paraId="7BF110F5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4228"/>
        <w:gridCol w:w="2114"/>
        <w:gridCol w:w="2114"/>
      </w:tblGrid>
      <w:tr w14:paraId="2CDD47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A6ADD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F759D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CF406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5E971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0EC68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1B5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081F0B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9B681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A0D34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D4E2BF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城乡居民养老保险待遇领取人数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72F4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城乡居民养老保险60周岁以上领取待遇人数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A8FB7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≤53460人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35BB2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213C62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3FD9E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C7F6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1A31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符合条件的城乡老年居民基础养老金足额发放率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67517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符合条件的城乡老年居民基础养老金足额发放率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EB17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83AC6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5ACD86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CD242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C1BDA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48B31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符合条件的城乡老年居民基础养老金按时发放率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25F9B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符合条件的城乡老年居民基础养老金按时发放率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5FC642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F6C62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2B57B8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FD029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4EB85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19868C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项目预算控制额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14C9B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项目总成本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D0C31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≤5980万元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14AEF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71509C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CC35E7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72153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D5B5F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覆盖面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6B373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享受补助覆盖面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3152E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E98D4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337A8F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0BC17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E0C30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450C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城乡居民政策知晓率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08B3F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城乡居民政策知晓率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03C9FC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D9749E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77DF12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706BF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18EAD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66266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基本养老保险制度长期可持续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489F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基本养老保险制度长期可持续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6A582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长期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AFA295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冀财社[2023]188号</w:t>
            </w:r>
          </w:p>
        </w:tc>
      </w:tr>
      <w:tr w14:paraId="4F7967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D2282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EB93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5BDA0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参保人员满意度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1CEA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参保人员满意度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24A75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≥85%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009BB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调查问卷</w:t>
            </w:r>
          </w:p>
        </w:tc>
      </w:tr>
    </w:tbl>
    <w:p w14:paraId="4A41E344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2997020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4AF2C6E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D3A7AB0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F21F1B4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2.</w:t>
      </w:r>
      <w:r>
        <w:rPr>
          <w:rFonts w:hint="eastAsia" w:ascii="仿宋" w:hAnsi="仿宋" w:eastAsia="仿宋" w:cs="方正仿宋_GBK"/>
          <w:color w:val="000000"/>
          <w:kern w:val="2"/>
          <w:sz w:val="28"/>
        </w:rPr>
        <w:t>2024年城乡居民养老保险省级补助资金（冀财社[2023]219号）绩效目标表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2114"/>
        <w:gridCol w:w="2114"/>
        <w:gridCol w:w="2114"/>
      </w:tblGrid>
      <w:tr w14:paraId="0C4A374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798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7C98B7F6">
            <w:pPr>
              <w:widowControl/>
              <w:jc w:val="righ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单位：万元</w:t>
            </w:r>
          </w:p>
        </w:tc>
      </w:tr>
      <w:tr w14:paraId="7E33A6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0745C0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AA4073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13012824P000021100077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4A7426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项目名称</w:t>
            </w:r>
          </w:p>
        </w:tc>
        <w:tc>
          <w:tcPr>
            <w:tcW w:w="6342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837AB8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2024年城乡居民养老保险省级补助资金（冀财社[2023]219号）</w:t>
            </w:r>
          </w:p>
        </w:tc>
      </w:tr>
      <w:tr w14:paraId="778E9FE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44152C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7E1ED50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6A3B6C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1850.00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5B9937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其中：财政    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C4387E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1850.00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9A7AC4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其他资金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04A662C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</w:tr>
      <w:tr w14:paraId="2ECCDF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61FED7">
            <w:pPr>
              <w:widowControl w:val="0"/>
              <w:adjustRightInd/>
              <w:snapToGrid/>
              <w:spacing w:after="0"/>
              <w:jc w:val="both"/>
              <w:rPr>
                <w:rFonts w:ascii="方正书宋_GBK" w:hAnsi="方正书宋_GBK" w:eastAsia="宋体" w:cs="Times New Roman"/>
                <w:b/>
                <w:kern w:val="2"/>
                <w:sz w:val="21"/>
                <w:szCs w:val="21"/>
              </w:rPr>
            </w:pP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A044DF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用于城乡居民基本养老保险省级负担的基础养老金和缴费补贴支出。</w:t>
            </w:r>
          </w:p>
        </w:tc>
      </w:tr>
      <w:tr w14:paraId="07D1051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B41430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8304CF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280AE5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6月底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0EE91E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10月底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1EEE08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12月底</w:t>
            </w:r>
          </w:p>
        </w:tc>
      </w:tr>
      <w:tr w14:paraId="0F87965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031339">
            <w:pPr>
              <w:widowControl w:val="0"/>
              <w:adjustRightInd/>
              <w:snapToGrid/>
              <w:spacing w:after="0"/>
              <w:jc w:val="both"/>
              <w:rPr>
                <w:rFonts w:ascii="方正书宋_GBK" w:hAnsi="方正书宋_GBK" w:eastAsia="宋体" w:cs="Times New Roman"/>
                <w:b/>
                <w:kern w:val="2"/>
                <w:sz w:val="21"/>
                <w:szCs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4E9473">
            <w:pPr>
              <w:widowControl/>
              <w:jc w:val="center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465.00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8FA55A">
            <w:pPr>
              <w:widowControl/>
              <w:jc w:val="center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925.00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C9710F">
            <w:pPr>
              <w:widowControl/>
              <w:jc w:val="center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1390.00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161112">
            <w:pPr>
              <w:widowControl/>
              <w:jc w:val="center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1850.00</w:t>
            </w:r>
          </w:p>
        </w:tc>
      </w:tr>
      <w:tr w14:paraId="2056699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2E1178C1">
            <w:pPr>
              <w:widowControl/>
              <w:jc w:val="center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绩效目标</w:t>
            </w: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37AA3496">
            <w:pPr>
              <w:widowControl/>
              <w:jc w:val="left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1.确保符合条件的城乡老年居民基础养老金按时足额发放；城乡居民基本养老保险参保缴费人员缴费补贴按时足额缴纳。</w:t>
            </w:r>
          </w:p>
        </w:tc>
      </w:tr>
    </w:tbl>
    <w:p w14:paraId="01628412">
      <w:pPr>
        <w:widowControl w:val="0"/>
        <w:adjustRightInd/>
        <w:snapToGrid/>
        <w:spacing w:after="0" w:line="2" w:lineRule="exact"/>
        <w:jc w:val="center"/>
        <w:rPr>
          <w:rFonts w:ascii="Times New Roman" w:hAnsi="Times New Roman" w:eastAsia="等线" w:cs="Times New Roman"/>
          <w:kern w:val="2"/>
          <w:sz w:val="21"/>
        </w:rPr>
      </w:pPr>
      <w:r>
        <w:rPr>
          <w:rFonts w:ascii="方正书宋_GBK" w:hAnsi="方正书宋_GBK" w:eastAsia="等线" w:cs="Times New Roman"/>
          <w:color w:val="000000"/>
          <w:kern w:val="2"/>
          <w:sz w:val="18"/>
          <w:szCs w:val="18"/>
        </w:rPr>
        <w:t xml:space="preserve"> </w:t>
      </w:r>
    </w:p>
    <w:tbl>
      <w:tblPr>
        <w:tblStyle w:val="9"/>
        <w:tblW w:w="1479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568"/>
        <w:gridCol w:w="3774"/>
        <w:gridCol w:w="2114"/>
        <w:gridCol w:w="2114"/>
      </w:tblGrid>
      <w:tr w14:paraId="553579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60B4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D6E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二级指标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D53A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三级指标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8A7E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绩效指标描述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B4B9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指标值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FE7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b/>
                <w:kern w:val="0"/>
                <w:sz w:val="21"/>
                <w:szCs w:val="24"/>
                <w:lang w:val="en-US" w:eastAsia="uk-UA" w:bidi="ar-SA"/>
              </w:rPr>
              <w:t>指标值确定依据</w:t>
            </w:r>
          </w:p>
        </w:tc>
      </w:tr>
      <w:tr w14:paraId="2B2987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019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9543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数量指标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009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城乡居民养老保险待遇领取人数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E407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城乡居民养老保险60周岁以上领取待遇人数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625F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≤53460人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B689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474354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4A0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/>
              <w:jc w:val="both"/>
              <w:textAlignment w:val="auto"/>
              <w:rPr>
                <w:rFonts w:ascii="方正书宋_GBK" w:hAnsi="方正书宋_GBK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89FF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质量指标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D73A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符合条件的城乡老年居民基础养老金足额发放率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422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符合条件的城乡老年居民基础养老金、缴费补贴足额发放率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979A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95D5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159FE7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B63E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/>
              <w:jc w:val="both"/>
              <w:textAlignment w:val="auto"/>
              <w:rPr>
                <w:rFonts w:ascii="方正书宋_GBK" w:hAnsi="方正书宋_GBK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492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时效指标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0600C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符合条件的城乡老年居民基础养老金按时发放率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4690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符合条件的城乡老年居民基础养老金、缴费补贴发放及时率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ECF2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058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5961BE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0175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/>
              <w:jc w:val="both"/>
              <w:textAlignment w:val="auto"/>
              <w:rPr>
                <w:rFonts w:ascii="方正书宋_GBK" w:hAnsi="方正书宋_GBK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DAFA8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成本指标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7225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项目预算控制额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C36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 xml:space="preserve"> 项目总成本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F9F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≤1850万元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307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55AD30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3DA8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FD6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经济效益指标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3FB4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覆盖面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AC17B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享受补助覆盖面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07D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≥90%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E56F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7AD8AB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4C99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/>
              <w:jc w:val="both"/>
              <w:textAlignment w:val="auto"/>
              <w:rPr>
                <w:rFonts w:ascii="方正书宋_GBK" w:hAnsi="方正书宋_GBK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7BC8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社会效益指标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DEC0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城乡居民政策知晓率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849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城乡居民政策知晓率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487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≥90%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4109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0015B5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DD3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/>
              <w:jc w:val="both"/>
              <w:textAlignment w:val="auto"/>
              <w:rPr>
                <w:rFonts w:ascii="方正书宋_GBK" w:hAnsi="方正书宋_GBK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57A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可持续影响指标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3D5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城乡居民基本养老保险支出长期可持续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E83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城乡居民基本养老保险支出长期可持续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792F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长期可持续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41B5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冀财社[2023]219号</w:t>
            </w:r>
          </w:p>
        </w:tc>
      </w:tr>
      <w:tr w14:paraId="423142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214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center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0A4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服务对象满意度指标</w:t>
            </w:r>
          </w:p>
        </w:tc>
        <w:tc>
          <w:tcPr>
            <w:tcW w:w="256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1ACD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服务对象满意度指标</w:t>
            </w:r>
          </w:p>
        </w:tc>
        <w:tc>
          <w:tcPr>
            <w:tcW w:w="37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4134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0621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≥85%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DFB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/>
              <w:jc w:val="left"/>
              <w:textAlignment w:val="auto"/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Times New Roman"/>
                <w:kern w:val="0"/>
                <w:sz w:val="21"/>
                <w:szCs w:val="24"/>
                <w:lang w:val="en-US" w:eastAsia="uk-UA" w:bidi="ar-SA"/>
              </w:rPr>
              <w:t>调查问卷</w:t>
            </w:r>
          </w:p>
        </w:tc>
      </w:tr>
    </w:tbl>
    <w:p w14:paraId="220F166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37102D20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164577EB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106519D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hint="eastAsia" w:ascii="仿宋" w:hAnsi="仿宋" w:eastAsia="仿宋" w:cs="方正仿宋_GBK"/>
          <w:color w:val="000000"/>
          <w:kern w:val="2"/>
          <w:sz w:val="28"/>
        </w:rPr>
        <w:t>3.2024年劳务派遣人员经费绩效目标表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2114"/>
        <w:gridCol w:w="2114"/>
        <w:gridCol w:w="2114"/>
      </w:tblGrid>
      <w:tr w14:paraId="2D11A1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798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534323E1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677A99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4116B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EF655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13012824P00000610001F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343C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342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BD26E2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2024年劳务派遣人员经费</w:t>
            </w:r>
          </w:p>
        </w:tc>
      </w:tr>
      <w:tr w14:paraId="4D60C3D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8D0CE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D350A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DD5D6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1360.00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45039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    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3D538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1360.00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BDBE6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0E62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6782C4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AFC06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DAE4B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2024年劳务派遣人员经费</w:t>
            </w:r>
          </w:p>
        </w:tc>
      </w:tr>
      <w:tr w14:paraId="2EA714E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19D94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EE1E6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06AC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D9E4F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FD98D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20DAA34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3343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DECA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340.00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1A6A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680.00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A364F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1020.00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EBA3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1360.00</w:t>
            </w:r>
          </w:p>
        </w:tc>
      </w:tr>
      <w:tr w14:paraId="7557A2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12CB114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71B5BA0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1.完成2024年劳务派遣人员经费发放</w:t>
            </w:r>
          </w:p>
        </w:tc>
      </w:tr>
    </w:tbl>
    <w:p w14:paraId="1140E8D2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1479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3289"/>
        <w:gridCol w:w="1985"/>
        <w:gridCol w:w="3182"/>
      </w:tblGrid>
      <w:tr w14:paraId="0E051C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65C8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BC2C2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C4163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C769F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2E655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5652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483561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F726C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8B7D9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36A06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劳务派遣人员工资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6D60F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劳务派遣人员工资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A2FEB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2000元/人/月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162A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0FA86F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563CA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3310E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8723E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发放准确率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9742D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发放准确率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CCB87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1A4BD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3DC073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07B532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E203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8F07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资金发放准时率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00B05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资金发放准时率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37BE5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B2BE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3C42AC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4BD41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06872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F6F70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项目预算控制数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43208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项目预算控制数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49141A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≥1360万元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153C4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30D251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3D18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9E9A9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4CFAB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资金的使用效率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F49D0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资金的使用效率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E8186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5496E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22645A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01707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1FC1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D5DA5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工作效率提高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2677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工作效率提高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B3062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≥95%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3B452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7E03D9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9C76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C4510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1075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生态效益增长率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CB3C7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生态效益增长率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847B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≥95%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05D57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79A421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C3EA4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07E40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37111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可持续性服务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F2D82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可持续性服务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EAD2F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5C84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  <w:tr w14:paraId="336196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EA937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4813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7FC6D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32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2F1CE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19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6B533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≥100%</w:t>
            </w:r>
          </w:p>
        </w:tc>
        <w:tc>
          <w:tcPr>
            <w:tcW w:w="31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B946E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《深泽县机关事业单位劳动聘用人员管理暂行办法》</w:t>
            </w:r>
          </w:p>
        </w:tc>
      </w:tr>
    </w:tbl>
    <w:p w14:paraId="75936178">
      <w:pPr>
        <w:widowControl w:val="0"/>
        <w:adjustRightInd/>
        <w:snapToGrid w:val="0"/>
        <w:spacing w:after="0"/>
        <w:ind w:firstLine="561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</w:p>
    <w:p w14:paraId="5992595B">
      <w:pPr>
        <w:widowControl w:val="0"/>
        <w:adjustRightInd/>
        <w:snapToGrid w:val="0"/>
        <w:spacing w:after="0"/>
        <w:ind w:firstLine="561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</w:p>
    <w:p w14:paraId="697698F6">
      <w:pPr>
        <w:widowControl w:val="0"/>
        <w:adjustRightInd/>
        <w:snapToGrid w:val="0"/>
        <w:spacing w:after="0"/>
        <w:ind w:firstLine="561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</w:p>
    <w:p w14:paraId="40581986">
      <w:pPr>
        <w:widowControl w:val="0"/>
        <w:adjustRightInd/>
        <w:snapToGrid w:val="0"/>
        <w:spacing w:after="0"/>
        <w:ind w:firstLine="561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4.城区环境卫生市场化服务项目绩效目标表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46EBF7F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184AEF0">
            <w:pPr>
              <w:widowControl/>
              <w:spacing w:line="240" w:lineRule="exact"/>
              <w:jc w:val="righ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单位：万元</w:t>
            </w:r>
          </w:p>
        </w:tc>
      </w:tr>
      <w:tr w14:paraId="3F2B7AA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1BEE7D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19335A1B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13012824P000128100011</w:t>
            </w:r>
          </w:p>
        </w:tc>
        <w:tc>
          <w:tcPr>
            <w:tcW w:w="2835" w:type="dxa"/>
            <w:vAlign w:val="center"/>
          </w:tcPr>
          <w:p w14:paraId="09414B75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3EA25A8D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城区环境卫生市场化服务项目</w:t>
            </w:r>
          </w:p>
        </w:tc>
      </w:tr>
      <w:tr w14:paraId="64A531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41EA150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338F9A89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预算数</w:t>
            </w:r>
          </w:p>
        </w:tc>
        <w:tc>
          <w:tcPr>
            <w:tcW w:w="2835" w:type="dxa"/>
            <w:vAlign w:val="center"/>
          </w:tcPr>
          <w:p w14:paraId="0DEA3E29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1800.00</w:t>
            </w:r>
          </w:p>
        </w:tc>
        <w:tc>
          <w:tcPr>
            <w:tcW w:w="2835" w:type="dxa"/>
            <w:vAlign w:val="center"/>
          </w:tcPr>
          <w:p w14:paraId="19BD3EA3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3655C058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1800.00</w:t>
            </w:r>
          </w:p>
        </w:tc>
        <w:tc>
          <w:tcPr>
            <w:tcW w:w="2268" w:type="dxa"/>
            <w:vAlign w:val="center"/>
          </w:tcPr>
          <w:p w14:paraId="57534FDF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12E0BCE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</w:tr>
      <w:tr w14:paraId="1716432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D273120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5FADC52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用于城区环境卫生市场化项目</w:t>
            </w:r>
          </w:p>
        </w:tc>
      </w:tr>
      <w:tr w14:paraId="1F92D3D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A0AD0DD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1435C3D1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3月底</w:t>
            </w:r>
          </w:p>
        </w:tc>
        <w:tc>
          <w:tcPr>
            <w:tcW w:w="2835" w:type="dxa"/>
            <w:vAlign w:val="center"/>
          </w:tcPr>
          <w:p w14:paraId="62EEA203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6月底</w:t>
            </w:r>
          </w:p>
        </w:tc>
        <w:tc>
          <w:tcPr>
            <w:tcW w:w="2551" w:type="dxa"/>
            <w:vAlign w:val="center"/>
          </w:tcPr>
          <w:p w14:paraId="5907F400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1BC9E1EE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12月底</w:t>
            </w:r>
          </w:p>
        </w:tc>
      </w:tr>
      <w:tr w14:paraId="4F11B1F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02CC107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3D92D2FA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500.00</w:t>
            </w:r>
          </w:p>
        </w:tc>
        <w:tc>
          <w:tcPr>
            <w:tcW w:w="2835" w:type="dxa"/>
            <w:vAlign w:val="center"/>
          </w:tcPr>
          <w:p w14:paraId="5AF7DE47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1000.00</w:t>
            </w:r>
          </w:p>
        </w:tc>
        <w:tc>
          <w:tcPr>
            <w:tcW w:w="2551" w:type="dxa"/>
            <w:vAlign w:val="center"/>
          </w:tcPr>
          <w:p w14:paraId="174790C5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1500.00</w:t>
            </w:r>
          </w:p>
        </w:tc>
        <w:tc>
          <w:tcPr>
            <w:tcW w:w="3543" w:type="dxa"/>
            <w:gridSpan w:val="2"/>
            <w:vAlign w:val="center"/>
          </w:tcPr>
          <w:p w14:paraId="1BDC099C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1800.00</w:t>
            </w:r>
          </w:p>
        </w:tc>
      </w:tr>
      <w:tr w14:paraId="21B686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072FAB7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19C385F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1.提升公共环境卫生质量</w:t>
            </w:r>
          </w:p>
        </w:tc>
      </w:tr>
    </w:tbl>
    <w:p w14:paraId="4463EBD4">
      <w:pPr>
        <w:widowControl w:val="0"/>
        <w:adjustRightInd/>
        <w:snapToGrid w:val="0"/>
        <w:spacing w:after="0" w:line="20" w:lineRule="exact"/>
        <w:jc w:val="center"/>
        <w:rPr>
          <w:rFonts w:ascii="等线" w:hAnsi="等线" w:eastAsia="等线" w:cs="Times New Roman"/>
          <w:kern w:val="2"/>
          <w:sz w:val="21"/>
        </w:rPr>
      </w:pPr>
      <w:r>
        <w:rPr>
          <w:rFonts w:ascii="方正书宋_GBK" w:hAnsi="方正书宋_GBK" w:eastAsia="方正书宋_GBK" w:cs="方正书宋_GBK"/>
          <w:color w:val="000000"/>
          <w:kern w:val="2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A4F93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4CD5618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56FFC5BB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7A5551FF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7E554D58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09630D11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指标值</w:t>
            </w:r>
          </w:p>
        </w:tc>
        <w:tc>
          <w:tcPr>
            <w:tcW w:w="1276" w:type="dxa"/>
            <w:vAlign w:val="center"/>
          </w:tcPr>
          <w:p w14:paraId="334CD815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指标值确定依据</w:t>
            </w:r>
          </w:p>
        </w:tc>
      </w:tr>
      <w:tr w14:paraId="7F0012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3642B5F8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49065ABE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42AFE623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卫生服务费数额</w:t>
            </w:r>
          </w:p>
        </w:tc>
        <w:tc>
          <w:tcPr>
            <w:tcW w:w="5386" w:type="dxa"/>
            <w:vAlign w:val="center"/>
          </w:tcPr>
          <w:p w14:paraId="6552C519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1800万</w:t>
            </w:r>
          </w:p>
        </w:tc>
        <w:tc>
          <w:tcPr>
            <w:tcW w:w="2268" w:type="dxa"/>
            <w:vAlign w:val="center"/>
          </w:tcPr>
          <w:p w14:paraId="477700A4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1足额</w:t>
            </w:r>
          </w:p>
        </w:tc>
        <w:tc>
          <w:tcPr>
            <w:tcW w:w="1276" w:type="dxa"/>
            <w:vAlign w:val="center"/>
          </w:tcPr>
          <w:p w14:paraId="10DE7AA2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471A70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87CA7A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EBA43D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4FDC72D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城区街道清洁率</w:t>
            </w:r>
          </w:p>
        </w:tc>
        <w:tc>
          <w:tcPr>
            <w:tcW w:w="5386" w:type="dxa"/>
            <w:vAlign w:val="center"/>
          </w:tcPr>
          <w:p w14:paraId="5475BA01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城区街道清洁率</w:t>
            </w:r>
          </w:p>
        </w:tc>
        <w:tc>
          <w:tcPr>
            <w:tcW w:w="2268" w:type="dxa"/>
            <w:vAlign w:val="center"/>
          </w:tcPr>
          <w:p w14:paraId="5D7252BC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575898D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29101D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596BB8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AF1D72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28294C56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按时完成清扫</w:t>
            </w:r>
          </w:p>
        </w:tc>
        <w:tc>
          <w:tcPr>
            <w:tcW w:w="5386" w:type="dxa"/>
            <w:vAlign w:val="center"/>
          </w:tcPr>
          <w:p w14:paraId="16BC0B5D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按时完成清扫</w:t>
            </w:r>
          </w:p>
        </w:tc>
        <w:tc>
          <w:tcPr>
            <w:tcW w:w="2268" w:type="dxa"/>
            <w:vAlign w:val="center"/>
          </w:tcPr>
          <w:p w14:paraId="413B561D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5734B168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796269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852D8DA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6B87E16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37417390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人工及机械成本</w:t>
            </w:r>
          </w:p>
        </w:tc>
        <w:tc>
          <w:tcPr>
            <w:tcW w:w="5386" w:type="dxa"/>
            <w:vAlign w:val="center"/>
          </w:tcPr>
          <w:p w14:paraId="0597462B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人工及机械成本</w:t>
            </w:r>
          </w:p>
        </w:tc>
        <w:tc>
          <w:tcPr>
            <w:tcW w:w="2268" w:type="dxa"/>
            <w:vAlign w:val="center"/>
          </w:tcPr>
          <w:p w14:paraId="7A145DAE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72E7457A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0B432B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71BF79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222F7BBF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431FE57F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提升市容市貌水平</w:t>
            </w:r>
          </w:p>
        </w:tc>
        <w:tc>
          <w:tcPr>
            <w:tcW w:w="5386" w:type="dxa"/>
            <w:vAlign w:val="center"/>
          </w:tcPr>
          <w:p w14:paraId="2619465F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提升市容市貌水平</w:t>
            </w:r>
          </w:p>
        </w:tc>
        <w:tc>
          <w:tcPr>
            <w:tcW w:w="2268" w:type="dxa"/>
            <w:vAlign w:val="center"/>
          </w:tcPr>
          <w:p w14:paraId="371556B1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71FF66A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386807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086E1D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692052B5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1FC0FDE6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提升市民幸福感</w:t>
            </w:r>
          </w:p>
        </w:tc>
        <w:tc>
          <w:tcPr>
            <w:tcW w:w="5386" w:type="dxa"/>
            <w:vAlign w:val="center"/>
          </w:tcPr>
          <w:p w14:paraId="41C27A1E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提升市民幸福感</w:t>
            </w:r>
          </w:p>
        </w:tc>
        <w:tc>
          <w:tcPr>
            <w:tcW w:w="2268" w:type="dxa"/>
            <w:vAlign w:val="center"/>
          </w:tcPr>
          <w:p w14:paraId="0F17EF41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62AD0879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1998A9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84F3B5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E0F802B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0829AC2E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市容环境大气质量得到改善</w:t>
            </w:r>
          </w:p>
        </w:tc>
        <w:tc>
          <w:tcPr>
            <w:tcW w:w="5386" w:type="dxa"/>
            <w:vAlign w:val="center"/>
          </w:tcPr>
          <w:p w14:paraId="792E643F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市容环境大气质量得到改善</w:t>
            </w:r>
          </w:p>
        </w:tc>
        <w:tc>
          <w:tcPr>
            <w:tcW w:w="2268" w:type="dxa"/>
            <w:vAlign w:val="center"/>
          </w:tcPr>
          <w:p w14:paraId="16733A52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7D6DFC93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7CDB0A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D8163C">
            <w:pPr>
              <w:widowControl w:val="0"/>
              <w:adjustRightInd/>
              <w:snapToGrid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38D3825E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78DC7A8B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提升城市管理水平</w:t>
            </w:r>
          </w:p>
        </w:tc>
        <w:tc>
          <w:tcPr>
            <w:tcW w:w="5386" w:type="dxa"/>
            <w:vAlign w:val="center"/>
          </w:tcPr>
          <w:p w14:paraId="05B3C2EB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提升城市管理水平</w:t>
            </w:r>
          </w:p>
        </w:tc>
        <w:tc>
          <w:tcPr>
            <w:tcW w:w="2268" w:type="dxa"/>
            <w:vAlign w:val="center"/>
          </w:tcPr>
          <w:p w14:paraId="79995A61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≥0.9合格</w:t>
            </w:r>
          </w:p>
        </w:tc>
        <w:tc>
          <w:tcPr>
            <w:tcW w:w="1276" w:type="dxa"/>
            <w:vAlign w:val="center"/>
          </w:tcPr>
          <w:p w14:paraId="408392C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  <w:tr w14:paraId="61DCF5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0ABC9A15">
            <w:pPr>
              <w:widowControl/>
              <w:spacing w:line="240" w:lineRule="exact"/>
              <w:jc w:val="center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451E486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12D0F9B5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市民满意度</w:t>
            </w:r>
          </w:p>
        </w:tc>
        <w:tc>
          <w:tcPr>
            <w:tcW w:w="5386" w:type="dxa"/>
            <w:vAlign w:val="center"/>
          </w:tcPr>
          <w:p w14:paraId="76B0C1E9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市民满意度</w:t>
            </w:r>
          </w:p>
        </w:tc>
        <w:tc>
          <w:tcPr>
            <w:tcW w:w="2268" w:type="dxa"/>
            <w:vAlign w:val="center"/>
          </w:tcPr>
          <w:p w14:paraId="43C76965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≥0.85合格</w:t>
            </w:r>
          </w:p>
        </w:tc>
        <w:tc>
          <w:tcPr>
            <w:tcW w:w="1276" w:type="dxa"/>
            <w:vAlign w:val="center"/>
          </w:tcPr>
          <w:p w14:paraId="12EF8087">
            <w:pPr>
              <w:widowControl/>
              <w:spacing w:line="240" w:lineRule="exact"/>
              <w:jc w:val="lef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政府文件</w:t>
            </w:r>
          </w:p>
        </w:tc>
      </w:tr>
    </w:tbl>
    <w:p w14:paraId="60FDDB2F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C7B5BF7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E40D2E0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4690994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988FE3C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hint="eastAsia" w:ascii="仿宋" w:hAnsi="仿宋" w:eastAsia="仿宋" w:cs="方正仿宋_GBK"/>
          <w:color w:val="000000"/>
          <w:kern w:val="2"/>
          <w:sz w:val="28"/>
        </w:rPr>
        <w:t>5.</w:t>
      </w:r>
      <w:r>
        <w:rPr>
          <w:rFonts w:ascii="仿宋" w:hAnsi="仿宋" w:eastAsia="仿宋" w:cs="方正仿宋_GBK"/>
          <w:color w:val="000000"/>
          <w:kern w:val="2"/>
          <w:sz w:val="28"/>
        </w:rPr>
        <w:t>城区污水处理厂运营费绩效目标表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07DF6CC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AC2D8A">
            <w:pPr>
              <w:widowControl/>
              <w:snapToGrid w:val="0"/>
              <w:spacing w:line="60" w:lineRule="atLeast"/>
              <w:jc w:val="right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单位：万元</w:t>
            </w:r>
          </w:p>
        </w:tc>
      </w:tr>
      <w:tr w14:paraId="5B5D772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5EDB7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5C2425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13012824P00012610001M</w:t>
            </w:r>
          </w:p>
        </w:tc>
        <w:tc>
          <w:tcPr>
            <w:tcW w:w="2835" w:type="dxa"/>
            <w:vAlign w:val="center"/>
          </w:tcPr>
          <w:p w14:paraId="084860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6C5CBF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城区污水处理厂运营费</w:t>
            </w:r>
          </w:p>
        </w:tc>
      </w:tr>
      <w:tr w14:paraId="5E7410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DF7F4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6E5727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预算数</w:t>
            </w:r>
          </w:p>
        </w:tc>
        <w:tc>
          <w:tcPr>
            <w:tcW w:w="2835" w:type="dxa"/>
            <w:vAlign w:val="center"/>
          </w:tcPr>
          <w:p w14:paraId="72D5A0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2400.00</w:t>
            </w:r>
          </w:p>
        </w:tc>
        <w:tc>
          <w:tcPr>
            <w:tcW w:w="2835" w:type="dxa"/>
            <w:vAlign w:val="center"/>
          </w:tcPr>
          <w:p w14:paraId="5DBC74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6ECA6C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2400.00</w:t>
            </w:r>
          </w:p>
        </w:tc>
        <w:tc>
          <w:tcPr>
            <w:tcW w:w="2268" w:type="dxa"/>
            <w:vAlign w:val="center"/>
          </w:tcPr>
          <w:p w14:paraId="4EE34D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1AAB6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</w:tr>
      <w:tr w14:paraId="22FF068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FB2FD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78399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城区污水厂运营费</w:t>
            </w:r>
          </w:p>
        </w:tc>
      </w:tr>
      <w:tr w14:paraId="673F90A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604D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4E514A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3月底</w:t>
            </w:r>
          </w:p>
        </w:tc>
        <w:tc>
          <w:tcPr>
            <w:tcW w:w="2835" w:type="dxa"/>
            <w:vAlign w:val="center"/>
          </w:tcPr>
          <w:p w14:paraId="692EB1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6月底</w:t>
            </w:r>
          </w:p>
        </w:tc>
        <w:tc>
          <w:tcPr>
            <w:tcW w:w="2551" w:type="dxa"/>
            <w:vAlign w:val="center"/>
          </w:tcPr>
          <w:p w14:paraId="674ED1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259FF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12月底</w:t>
            </w:r>
          </w:p>
        </w:tc>
      </w:tr>
      <w:tr w14:paraId="557C7E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FC95A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7C6056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5C6A5D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795B70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7B4EE7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2400.00</w:t>
            </w:r>
          </w:p>
        </w:tc>
      </w:tr>
      <w:tr w14:paraId="4EE63B0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0A54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64580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1.城区污水处理厂运营费</w:t>
            </w:r>
          </w:p>
        </w:tc>
      </w:tr>
    </w:tbl>
    <w:p w14:paraId="489247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20" w:lineRule="exact"/>
        <w:jc w:val="center"/>
        <w:textAlignment w:val="auto"/>
        <w:rPr>
          <w:rFonts w:ascii="等线" w:hAnsi="等线" w:eastAsia="等线" w:cs="Times New Roman"/>
          <w:kern w:val="2"/>
          <w:sz w:val="21"/>
        </w:rPr>
      </w:pPr>
      <w:r>
        <w:rPr>
          <w:rFonts w:ascii="方正书宋_GBK" w:hAnsi="方正书宋_GBK" w:eastAsia="方正书宋_GBK" w:cs="方正书宋_GBK"/>
          <w:color w:val="000000"/>
          <w:kern w:val="2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265E7B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92CA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6AE501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15782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145F60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2F6ADE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指标值</w:t>
            </w:r>
          </w:p>
        </w:tc>
        <w:tc>
          <w:tcPr>
            <w:tcW w:w="1276" w:type="dxa"/>
            <w:vAlign w:val="center"/>
          </w:tcPr>
          <w:p w14:paraId="0661B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b/>
                <w:kern w:val="0"/>
                <w:sz w:val="21"/>
                <w:szCs w:val="24"/>
                <w:lang w:val="en-US" w:eastAsia="uk-UA" w:bidi="ar-SA"/>
              </w:rPr>
              <w:t>指标值确定依据</w:t>
            </w:r>
          </w:p>
        </w:tc>
      </w:tr>
      <w:tr w14:paraId="5704D0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DB0FE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132EC4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744F16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工程质量合格率（%）</w:t>
            </w:r>
          </w:p>
        </w:tc>
        <w:tc>
          <w:tcPr>
            <w:tcW w:w="5386" w:type="dxa"/>
            <w:vAlign w:val="center"/>
          </w:tcPr>
          <w:p w14:paraId="4D665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工程质量合格率（%）</w:t>
            </w:r>
          </w:p>
        </w:tc>
        <w:tc>
          <w:tcPr>
            <w:tcW w:w="2268" w:type="dxa"/>
            <w:vAlign w:val="center"/>
          </w:tcPr>
          <w:p w14:paraId="10A2B2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502613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1534EB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9D13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536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09366C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检验检测设备达标率</w:t>
            </w:r>
          </w:p>
        </w:tc>
        <w:tc>
          <w:tcPr>
            <w:tcW w:w="5386" w:type="dxa"/>
            <w:vAlign w:val="center"/>
          </w:tcPr>
          <w:p w14:paraId="31B67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检验检测设备达标率</w:t>
            </w:r>
          </w:p>
        </w:tc>
        <w:tc>
          <w:tcPr>
            <w:tcW w:w="2268" w:type="dxa"/>
            <w:vAlign w:val="center"/>
          </w:tcPr>
          <w:p w14:paraId="31C1CA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7DB83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1F4710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650D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A878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3DB5E5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及时性</w:t>
            </w:r>
          </w:p>
        </w:tc>
        <w:tc>
          <w:tcPr>
            <w:tcW w:w="5386" w:type="dxa"/>
            <w:vAlign w:val="center"/>
          </w:tcPr>
          <w:p w14:paraId="6FC960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及时性</w:t>
            </w:r>
          </w:p>
        </w:tc>
        <w:tc>
          <w:tcPr>
            <w:tcW w:w="2268" w:type="dxa"/>
            <w:vAlign w:val="center"/>
          </w:tcPr>
          <w:p w14:paraId="491D8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3F284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5353EB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9300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B2EFF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13F63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总成本</w:t>
            </w:r>
          </w:p>
        </w:tc>
        <w:tc>
          <w:tcPr>
            <w:tcW w:w="5386" w:type="dxa"/>
            <w:vAlign w:val="center"/>
          </w:tcPr>
          <w:p w14:paraId="7B389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总成本</w:t>
            </w:r>
          </w:p>
        </w:tc>
        <w:tc>
          <w:tcPr>
            <w:tcW w:w="2268" w:type="dxa"/>
            <w:vAlign w:val="center"/>
          </w:tcPr>
          <w:p w14:paraId="12E929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2400万元</w:t>
            </w:r>
          </w:p>
        </w:tc>
        <w:tc>
          <w:tcPr>
            <w:tcW w:w="1276" w:type="dxa"/>
            <w:vAlign w:val="center"/>
          </w:tcPr>
          <w:p w14:paraId="0DFCBD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3C71AA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0A1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4B8839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055BF1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项目前期工程完成情况</w:t>
            </w:r>
          </w:p>
        </w:tc>
        <w:tc>
          <w:tcPr>
            <w:tcW w:w="5386" w:type="dxa"/>
            <w:vAlign w:val="center"/>
          </w:tcPr>
          <w:p w14:paraId="1E7185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项目前期工程完成情况</w:t>
            </w:r>
          </w:p>
        </w:tc>
        <w:tc>
          <w:tcPr>
            <w:tcW w:w="2268" w:type="dxa"/>
            <w:vAlign w:val="center"/>
          </w:tcPr>
          <w:p w14:paraId="7D635A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5A9C6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25E8F7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90C2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D1DFF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07AC5B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社会氛围</w:t>
            </w:r>
          </w:p>
        </w:tc>
        <w:tc>
          <w:tcPr>
            <w:tcW w:w="5386" w:type="dxa"/>
            <w:vAlign w:val="center"/>
          </w:tcPr>
          <w:p w14:paraId="7CA9C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社会氛围</w:t>
            </w:r>
          </w:p>
        </w:tc>
        <w:tc>
          <w:tcPr>
            <w:tcW w:w="2268" w:type="dxa"/>
            <w:vAlign w:val="center"/>
          </w:tcPr>
          <w:p w14:paraId="5F1346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01557A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679FAD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0D66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F97C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7AE4E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改善生态环境质量</w:t>
            </w:r>
          </w:p>
        </w:tc>
        <w:tc>
          <w:tcPr>
            <w:tcW w:w="5386" w:type="dxa"/>
            <w:vAlign w:val="center"/>
          </w:tcPr>
          <w:p w14:paraId="04DEE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改善生态环境质量</w:t>
            </w:r>
          </w:p>
        </w:tc>
        <w:tc>
          <w:tcPr>
            <w:tcW w:w="2268" w:type="dxa"/>
            <w:vAlign w:val="center"/>
          </w:tcPr>
          <w:p w14:paraId="7CF44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5CEE8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681DCF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7EAF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="0" w:line="240" w:lineRule="auto"/>
              <w:jc w:val="both"/>
              <w:textAlignment w:val="auto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6DF6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54A599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监测、评价完成率</w:t>
            </w:r>
          </w:p>
        </w:tc>
        <w:tc>
          <w:tcPr>
            <w:tcW w:w="5386" w:type="dxa"/>
            <w:vAlign w:val="center"/>
          </w:tcPr>
          <w:p w14:paraId="2B592F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监测、评价完成率</w:t>
            </w:r>
          </w:p>
        </w:tc>
        <w:tc>
          <w:tcPr>
            <w:tcW w:w="2268" w:type="dxa"/>
            <w:vAlign w:val="center"/>
          </w:tcPr>
          <w:p w14:paraId="1CE5FC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07E296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  <w:tr w14:paraId="16128A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2A15E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center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14B98C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388905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满意率</w:t>
            </w:r>
          </w:p>
        </w:tc>
        <w:tc>
          <w:tcPr>
            <w:tcW w:w="5386" w:type="dxa"/>
            <w:vAlign w:val="center"/>
          </w:tcPr>
          <w:p w14:paraId="37D70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满意率</w:t>
            </w:r>
          </w:p>
        </w:tc>
        <w:tc>
          <w:tcPr>
            <w:tcW w:w="2268" w:type="dxa"/>
            <w:vAlign w:val="center"/>
          </w:tcPr>
          <w:p w14:paraId="6C0D6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≥99%</w:t>
            </w:r>
          </w:p>
        </w:tc>
        <w:tc>
          <w:tcPr>
            <w:tcW w:w="1276" w:type="dxa"/>
            <w:vAlign w:val="center"/>
          </w:tcPr>
          <w:p w14:paraId="7BA2FE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after="0" w:line="240" w:lineRule="auto"/>
              <w:jc w:val="left"/>
              <w:textAlignment w:val="auto"/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</w:pPr>
            <w:r>
              <w:rPr>
                <w:rFonts w:ascii="方正书宋_GBK" w:hAnsi="方正书宋_GBK" w:eastAsia="方正书宋_GBK" w:cs="方正书宋_GBK"/>
                <w:kern w:val="0"/>
                <w:sz w:val="21"/>
                <w:szCs w:val="24"/>
                <w:lang w:val="en-US" w:eastAsia="uk-UA" w:bidi="ar-SA"/>
              </w:rPr>
              <w:t>政府批示</w:t>
            </w:r>
          </w:p>
        </w:tc>
      </w:tr>
    </w:tbl>
    <w:p w14:paraId="262AEFB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440EA57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2D033F2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84526AA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15B057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0637DE3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79C28B3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6.第三污水处理厂运营费、污泥处置费绩效目标表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77D572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AA38A0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6CDDEEA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386F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5CD21A4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13012824P000126100029</w:t>
            </w:r>
          </w:p>
        </w:tc>
        <w:tc>
          <w:tcPr>
            <w:tcW w:w="2835" w:type="dxa"/>
            <w:vAlign w:val="center"/>
          </w:tcPr>
          <w:p w14:paraId="2DBA8A1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1F2BBF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第三污水处理厂运营费、污泥处置费</w:t>
            </w:r>
          </w:p>
        </w:tc>
      </w:tr>
      <w:tr w14:paraId="2F291ED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5364FE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3B0CB52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17A14D1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2000.00</w:t>
            </w:r>
          </w:p>
        </w:tc>
        <w:tc>
          <w:tcPr>
            <w:tcW w:w="2835" w:type="dxa"/>
            <w:vAlign w:val="center"/>
          </w:tcPr>
          <w:p w14:paraId="6748646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2D53581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2000.00</w:t>
            </w:r>
          </w:p>
        </w:tc>
        <w:tc>
          <w:tcPr>
            <w:tcW w:w="2268" w:type="dxa"/>
            <w:vAlign w:val="center"/>
          </w:tcPr>
          <w:p w14:paraId="12FCD7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14EAC33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2E10792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0E2F1E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724C671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运营费</w:t>
            </w:r>
          </w:p>
        </w:tc>
      </w:tr>
      <w:tr w14:paraId="2E6E0B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3125A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4B26D6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61B29B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64B7489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10EF824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73871C1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A6430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213E94C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0D7899D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10D8526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2E69B67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2000.00</w:t>
            </w:r>
          </w:p>
        </w:tc>
      </w:tr>
      <w:tr w14:paraId="482DDD6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058FF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6273259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1.第三污水处理厂运营费、污泥处置费</w:t>
            </w:r>
          </w:p>
        </w:tc>
      </w:tr>
    </w:tbl>
    <w:p w14:paraId="2C211DF2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7D6542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706B1B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27CDF0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3506252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718762F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19E5E09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73F7973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7BF2B2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3BCE2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44D686D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35C67F1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工程质量合格率（%）</w:t>
            </w:r>
          </w:p>
        </w:tc>
        <w:tc>
          <w:tcPr>
            <w:tcW w:w="5386" w:type="dxa"/>
            <w:vAlign w:val="center"/>
          </w:tcPr>
          <w:p w14:paraId="5F2A66A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工程质量合格率（%）</w:t>
            </w:r>
          </w:p>
        </w:tc>
        <w:tc>
          <w:tcPr>
            <w:tcW w:w="2268" w:type="dxa"/>
            <w:vAlign w:val="center"/>
          </w:tcPr>
          <w:p w14:paraId="62A864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603EF3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BAAA5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87FF0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1DAEAD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1223B0D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检验检测设备达标率</w:t>
            </w:r>
          </w:p>
        </w:tc>
        <w:tc>
          <w:tcPr>
            <w:tcW w:w="5386" w:type="dxa"/>
            <w:vAlign w:val="center"/>
          </w:tcPr>
          <w:p w14:paraId="59E2030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检验检测设备达标率</w:t>
            </w:r>
          </w:p>
        </w:tc>
        <w:tc>
          <w:tcPr>
            <w:tcW w:w="2268" w:type="dxa"/>
            <w:vAlign w:val="center"/>
          </w:tcPr>
          <w:p w14:paraId="79B018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6A3E00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5494E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67E70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19776B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336F367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及时性</w:t>
            </w:r>
          </w:p>
        </w:tc>
        <w:tc>
          <w:tcPr>
            <w:tcW w:w="5386" w:type="dxa"/>
            <w:vAlign w:val="center"/>
          </w:tcPr>
          <w:p w14:paraId="7985DB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及时性</w:t>
            </w:r>
          </w:p>
        </w:tc>
        <w:tc>
          <w:tcPr>
            <w:tcW w:w="2268" w:type="dxa"/>
            <w:vAlign w:val="center"/>
          </w:tcPr>
          <w:p w14:paraId="590E13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10CF26F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46018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B2DBA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32D5F5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445437A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总成本</w:t>
            </w:r>
          </w:p>
        </w:tc>
        <w:tc>
          <w:tcPr>
            <w:tcW w:w="5386" w:type="dxa"/>
            <w:vAlign w:val="center"/>
          </w:tcPr>
          <w:p w14:paraId="15CFE3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总成本</w:t>
            </w:r>
          </w:p>
        </w:tc>
        <w:tc>
          <w:tcPr>
            <w:tcW w:w="2268" w:type="dxa"/>
            <w:vAlign w:val="center"/>
          </w:tcPr>
          <w:p w14:paraId="3C7FE7B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2000万元</w:t>
            </w:r>
          </w:p>
        </w:tc>
        <w:tc>
          <w:tcPr>
            <w:tcW w:w="1276" w:type="dxa"/>
            <w:vAlign w:val="center"/>
          </w:tcPr>
          <w:p w14:paraId="3FD6D00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80580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6C9EB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7549926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1F7D0E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项目前期工程完成情况</w:t>
            </w:r>
          </w:p>
        </w:tc>
        <w:tc>
          <w:tcPr>
            <w:tcW w:w="5386" w:type="dxa"/>
            <w:vAlign w:val="center"/>
          </w:tcPr>
          <w:p w14:paraId="440AAF1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项目前期工程完成情况</w:t>
            </w:r>
          </w:p>
        </w:tc>
        <w:tc>
          <w:tcPr>
            <w:tcW w:w="2268" w:type="dxa"/>
            <w:vAlign w:val="center"/>
          </w:tcPr>
          <w:p w14:paraId="65DA668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3D6BE01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43139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C9F9A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3C642B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0B6042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社会氛围</w:t>
            </w:r>
          </w:p>
        </w:tc>
        <w:tc>
          <w:tcPr>
            <w:tcW w:w="5386" w:type="dxa"/>
            <w:vAlign w:val="center"/>
          </w:tcPr>
          <w:p w14:paraId="093107A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社会氛围</w:t>
            </w:r>
          </w:p>
        </w:tc>
        <w:tc>
          <w:tcPr>
            <w:tcW w:w="2268" w:type="dxa"/>
            <w:vAlign w:val="center"/>
          </w:tcPr>
          <w:p w14:paraId="1336D22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737EA19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94ECC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1094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AF69B5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100ECC8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改善生态环境质量</w:t>
            </w:r>
          </w:p>
        </w:tc>
        <w:tc>
          <w:tcPr>
            <w:tcW w:w="5386" w:type="dxa"/>
            <w:vAlign w:val="center"/>
          </w:tcPr>
          <w:p w14:paraId="4B4EE57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改善生态环境质量</w:t>
            </w:r>
          </w:p>
        </w:tc>
        <w:tc>
          <w:tcPr>
            <w:tcW w:w="2268" w:type="dxa"/>
            <w:vAlign w:val="center"/>
          </w:tcPr>
          <w:p w14:paraId="658020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82456F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FFEB1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76BFE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469948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716A04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监测、评价完成率</w:t>
            </w:r>
          </w:p>
        </w:tc>
        <w:tc>
          <w:tcPr>
            <w:tcW w:w="5386" w:type="dxa"/>
            <w:vAlign w:val="center"/>
          </w:tcPr>
          <w:p w14:paraId="1444C31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监测、评价完成率</w:t>
            </w:r>
          </w:p>
        </w:tc>
        <w:tc>
          <w:tcPr>
            <w:tcW w:w="2268" w:type="dxa"/>
            <w:vAlign w:val="center"/>
          </w:tcPr>
          <w:p w14:paraId="4C4B9D4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136DAD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93C9E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676FCA4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69D0D9A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1AFBD8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满意率</w:t>
            </w:r>
          </w:p>
        </w:tc>
        <w:tc>
          <w:tcPr>
            <w:tcW w:w="5386" w:type="dxa"/>
            <w:vAlign w:val="center"/>
          </w:tcPr>
          <w:p w14:paraId="106CD18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满意率</w:t>
            </w:r>
          </w:p>
        </w:tc>
        <w:tc>
          <w:tcPr>
            <w:tcW w:w="2268" w:type="dxa"/>
            <w:vAlign w:val="center"/>
          </w:tcPr>
          <w:p w14:paraId="6D3853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2848797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571954C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93B122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030C2C5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671B5D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09B37E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630D303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DE10A7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8633470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7.农村垃圾清理绩效目标表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367EBA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0F8808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1FB93B1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5DDBE3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0A4F27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13012824P000127100098</w:t>
            </w:r>
          </w:p>
        </w:tc>
        <w:tc>
          <w:tcPr>
            <w:tcW w:w="2835" w:type="dxa"/>
            <w:vAlign w:val="center"/>
          </w:tcPr>
          <w:p w14:paraId="558B07E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633B94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农村垃圾清理</w:t>
            </w:r>
          </w:p>
        </w:tc>
      </w:tr>
      <w:tr w14:paraId="7A806A8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D045CC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4B07E35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0BEF06C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1500.00</w:t>
            </w:r>
          </w:p>
        </w:tc>
        <w:tc>
          <w:tcPr>
            <w:tcW w:w="2835" w:type="dxa"/>
            <w:vAlign w:val="center"/>
          </w:tcPr>
          <w:p w14:paraId="138E66E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7DC80DF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1500.00</w:t>
            </w:r>
          </w:p>
        </w:tc>
        <w:tc>
          <w:tcPr>
            <w:tcW w:w="2268" w:type="dxa"/>
            <w:vAlign w:val="center"/>
          </w:tcPr>
          <w:p w14:paraId="43C2570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64DF679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2702D19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8D6388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3D9D136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农村垃圾清理</w:t>
            </w:r>
          </w:p>
        </w:tc>
      </w:tr>
      <w:tr w14:paraId="1DC55A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6C922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6B71478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49AA2E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084F87C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04C40A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5C0ADB4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BB57A9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14AFA41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521CC1E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32E5F65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390FEFF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1500.00</w:t>
            </w:r>
          </w:p>
        </w:tc>
      </w:tr>
      <w:tr w14:paraId="0A4696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B17044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7A69FFF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1.农村垃圾清理</w:t>
            </w:r>
          </w:p>
        </w:tc>
      </w:tr>
    </w:tbl>
    <w:p w14:paraId="7324961D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9D0B1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C81D67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35DF947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1368D2B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36F38D0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565A7C3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62D1A9D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0E35C2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45C0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6A94DE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18BB7F1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工程质量合格率（%）</w:t>
            </w:r>
          </w:p>
        </w:tc>
        <w:tc>
          <w:tcPr>
            <w:tcW w:w="5386" w:type="dxa"/>
            <w:vAlign w:val="center"/>
          </w:tcPr>
          <w:p w14:paraId="4D5DF7B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工程质量合格率（%）</w:t>
            </w:r>
          </w:p>
        </w:tc>
        <w:tc>
          <w:tcPr>
            <w:tcW w:w="2268" w:type="dxa"/>
            <w:vAlign w:val="center"/>
          </w:tcPr>
          <w:p w14:paraId="171728D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872943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107DC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6A4340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4EB77C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4E9E83E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检验检测设备达标率</w:t>
            </w:r>
          </w:p>
        </w:tc>
        <w:tc>
          <w:tcPr>
            <w:tcW w:w="5386" w:type="dxa"/>
            <w:vAlign w:val="center"/>
          </w:tcPr>
          <w:p w14:paraId="3AFB52C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检验检测设备达标率</w:t>
            </w:r>
          </w:p>
        </w:tc>
        <w:tc>
          <w:tcPr>
            <w:tcW w:w="2268" w:type="dxa"/>
            <w:vAlign w:val="center"/>
          </w:tcPr>
          <w:p w14:paraId="6A2105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77CDC82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78CD03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50A7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7125054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30C5FC4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及时性</w:t>
            </w:r>
          </w:p>
        </w:tc>
        <w:tc>
          <w:tcPr>
            <w:tcW w:w="5386" w:type="dxa"/>
            <w:vAlign w:val="center"/>
          </w:tcPr>
          <w:p w14:paraId="1082B59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及时性</w:t>
            </w:r>
          </w:p>
        </w:tc>
        <w:tc>
          <w:tcPr>
            <w:tcW w:w="2268" w:type="dxa"/>
            <w:vAlign w:val="center"/>
          </w:tcPr>
          <w:p w14:paraId="362B1E4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F14253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206B68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862B9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26AD8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4B00B9E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总成本</w:t>
            </w:r>
          </w:p>
        </w:tc>
        <w:tc>
          <w:tcPr>
            <w:tcW w:w="5386" w:type="dxa"/>
            <w:vAlign w:val="center"/>
          </w:tcPr>
          <w:p w14:paraId="251AF7B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总成本</w:t>
            </w:r>
          </w:p>
        </w:tc>
        <w:tc>
          <w:tcPr>
            <w:tcW w:w="2268" w:type="dxa"/>
            <w:vAlign w:val="center"/>
          </w:tcPr>
          <w:p w14:paraId="3698999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1500万元</w:t>
            </w:r>
          </w:p>
        </w:tc>
        <w:tc>
          <w:tcPr>
            <w:tcW w:w="1276" w:type="dxa"/>
            <w:vAlign w:val="center"/>
          </w:tcPr>
          <w:p w14:paraId="5B88252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15A6B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6D9E31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554BCD6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0351632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项目前期工程完成情况</w:t>
            </w:r>
          </w:p>
        </w:tc>
        <w:tc>
          <w:tcPr>
            <w:tcW w:w="5386" w:type="dxa"/>
            <w:vAlign w:val="center"/>
          </w:tcPr>
          <w:p w14:paraId="571265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项目前期工程完成情况</w:t>
            </w:r>
          </w:p>
        </w:tc>
        <w:tc>
          <w:tcPr>
            <w:tcW w:w="2268" w:type="dxa"/>
            <w:vAlign w:val="center"/>
          </w:tcPr>
          <w:p w14:paraId="350933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411C42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03B9C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3DF590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01163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527EA19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社会氛围</w:t>
            </w:r>
          </w:p>
        </w:tc>
        <w:tc>
          <w:tcPr>
            <w:tcW w:w="5386" w:type="dxa"/>
            <w:vAlign w:val="center"/>
          </w:tcPr>
          <w:p w14:paraId="01A16BD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社会氛围</w:t>
            </w:r>
          </w:p>
        </w:tc>
        <w:tc>
          <w:tcPr>
            <w:tcW w:w="2268" w:type="dxa"/>
            <w:vAlign w:val="center"/>
          </w:tcPr>
          <w:p w14:paraId="5B2FFF1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0AE795E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CBC2B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AA41A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687D44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7D92B27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改善生态环境质量</w:t>
            </w:r>
          </w:p>
        </w:tc>
        <w:tc>
          <w:tcPr>
            <w:tcW w:w="5386" w:type="dxa"/>
            <w:vAlign w:val="center"/>
          </w:tcPr>
          <w:p w14:paraId="249A9C2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改善生态环境质量</w:t>
            </w:r>
          </w:p>
        </w:tc>
        <w:tc>
          <w:tcPr>
            <w:tcW w:w="2268" w:type="dxa"/>
            <w:vAlign w:val="center"/>
          </w:tcPr>
          <w:p w14:paraId="6F3534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1F51579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7BFD81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393CE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D13366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302472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监测、评价完成率</w:t>
            </w:r>
          </w:p>
        </w:tc>
        <w:tc>
          <w:tcPr>
            <w:tcW w:w="5386" w:type="dxa"/>
            <w:vAlign w:val="center"/>
          </w:tcPr>
          <w:p w14:paraId="54933A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监测、评价完成率</w:t>
            </w:r>
          </w:p>
        </w:tc>
        <w:tc>
          <w:tcPr>
            <w:tcW w:w="2268" w:type="dxa"/>
            <w:vAlign w:val="center"/>
          </w:tcPr>
          <w:p w14:paraId="55DC89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92848F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0FF15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1FD326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7C1E0C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4BD565A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满意率</w:t>
            </w:r>
          </w:p>
        </w:tc>
        <w:tc>
          <w:tcPr>
            <w:tcW w:w="5386" w:type="dxa"/>
            <w:vAlign w:val="center"/>
          </w:tcPr>
          <w:p w14:paraId="002352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满意率</w:t>
            </w:r>
          </w:p>
        </w:tc>
        <w:tc>
          <w:tcPr>
            <w:tcW w:w="2268" w:type="dxa"/>
            <w:vAlign w:val="center"/>
          </w:tcPr>
          <w:p w14:paraId="514CB7F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28EF5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3D4E844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7E8C0C8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7873BB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F7DE0C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DAA43BA">
      <w:pPr>
        <w:widowControl w:val="0"/>
        <w:adjustRightInd/>
        <w:snapToGrid w:val="0"/>
        <w:spacing w:after="0" w:line="240" w:lineRule="exact"/>
        <w:jc w:val="both"/>
        <w:rPr>
          <w:rFonts w:hint="eastAsia" w:ascii="宋体" w:hAnsi="宋体" w:eastAsia="宋体" w:cs="Times New Roman"/>
          <w:kern w:val="2"/>
          <w:sz w:val="21"/>
        </w:rPr>
      </w:pPr>
    </w:p>
    <w:p w14:paraId="376287B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EADA69E">
      <w:pPr>
        <w:widowControl w:val="0"/>
        <w:adjustRightInd/>
        <w:snapToGrid w:val="0"/>
        <w:spacing w:after="0" w:line="240" w:lineRule="exact"/>
        <w:jc w:val="both"/>
        <w:rPr>
          <w:rFonts w:hint="eastAsia" w:ascii="宋体" w:hAnsi="宋体" w:eastAsia="宋体" w:cs="Times New Roman"/>
          <w:kern w:val="2"/>
          <w:sz w:val="21"/>
        </w:rPr>
      </w:pPr>
    </w:p>
    <w:p w14:paraId="4E6E2812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8.深泽县2022年老旧小区改造配套基础设施建设项目绩效目标表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3ACA0ED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8FDFBAF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23C08D2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2F85AB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6EDA358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13012823P00002210019H</w:t>
            </w:r>
          </w:p>
        </w:tc>
        <w:tc>
          <w:tcPr>
            <w:tcW w:w="2835" w:type="dxa"/>
            <w:vAlign w:val="center"/>
          </w:tcPr>
          <w:p w14:paraId="57D6204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76A50DA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深泽县2022年老旧小区改造配套基础设施建设项目</w:t>
            </w:r>
          </w:p>
        </w:tc>
      </w:tr>
      <w:tr w14:paraId="0FD3AC6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1A0371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59E1692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3B164D3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1985.33</w:t>
            </w:r>
          </w:p>
        </w:tc>
        <w:tc>
          <w:tcPr>
            <w:tcW w:w="2835" w:type="dxa"/>
            <w:vAlign w:val="center"/>
          </w:tcPr>
          <w:p w14:paraId="2BFE06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4BC9BB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1985.33</w:t>
            </w:r>
          </w:p>
        </w:tc>
        <w:tc>
          <w:tcPr>
            <w:tcW w:w="2268" w:type="dxa"/>
            <w:vAlign w:val="center"/>
          </w:tcPr>
          <w:p w14:paraId="33B0031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61FE1B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2D391A7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184A49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709495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老旧小区改造配套基础设施改造项目</w:t>
            </w:r>
          </w:p>
        </w:tc>
      </w:tr>
      <w:tr w14:paraId="5524E8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7ED0EB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73AD26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2B64BE6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040AF6E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0100C8E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25C437B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AB8308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2CCDE7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4F246CB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4CD9553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5A808DB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1985.33</w:t>
            </w:r>
          </w:p>
        </w:tc>
      </w:tr>
      <w:tr w14:paraId="44CD9C6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76D98D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3B3ED2B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1.深泽县2022年老旧小区改造配套基础设施建设项目</w:t>
            </w:r>
          </w:p>
        </w:tc>
      </w:tr>
    </w:tbl>
    <w:p w14:paraId="22F74182">
      <w:pPr>
        <w:widowControl w:val="0"/>
        <w:adjustRightInd/>
        <w:snapToGrid w:val="0"/>
        <w:spacing w:after="0" w:line="20" w:lineRule="exact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299A6D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7770DC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475EB83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3214C50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2AD48A7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75F0DD0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33649CB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26B121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045EF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54D6C5F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6E1AF38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5386" w:type="dxa"/>
            <w:vAlign w:val="center"/>
          </w:tcPr>
          <w:p w14:paraId="7081B0A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2268" w:type="dxa"/>
            <w:vAlign w:val="center"/>
          </w:tcPr>
          <w:p w14:paraId="50D455C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2C23C83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1DA29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784E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19D99F1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41B0ADC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5386" w:type="dxa"/>
            <w:vAlign w:val="center"/>
          </w:tcPr>
          <w:p w14:paraId="181E5A1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2268" w:type="dxa"/>
            <w:vAlign w:val="center"/>
          </w:tcPr>
          <w:p w14:paraId="6DA00A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42C5333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75484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0E1B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3A4F1FF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2BFD8D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5386" w:type="dxa"/>
            <w:vAlign w:val="center"/>
          </w:tcPr>
          <w:p w14:paraId="7615FF7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2268" w:type="dxa"/>
            <w:vAlign w:val="center"/>
          </w:tcPr>
          <w:p w14:paraId="701D5FA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187E793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88399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8EF8D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612B04F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78DF060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5386" w:type="dxa"/>
            <w:vAlign w:val="center"/>
          </w:tcPr>
          <w:p w14:paraId="6278DCE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2268" w:type="dxa"/>
            <w:vAlign w:val="center"/>
          </w:tcPr>
          <w:p w14:paraId="14CDE6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1985.32万元</w:t>
            </w:r>
          </w:p>
        </w:tc>
        <w:tc>
          <w:tcPr>
            <w:tcW w:w="1276" w:type="dxa"/>
            <w:vAlign w:val="center"/>
          </w:tcPr>
          <w:p w14:paraId="03AFDD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F1590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2DAE79A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514489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1A9DD2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5386" w:type="dxa"/>
            <w:vAlign w:val="center"/>
          </w:tcPr>
          <w:p w14:paraId="272750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2268" w:type="dxa"/>
            <w:vAlign w:val="center"/>
          </w:tcPr>
          <w:p w14:paraId="232BE65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75602F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9839E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12DCA6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B57067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17146E1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5386" w:type="dxa"/>
            <w:vAlign w:val="center"/>
          </w:tcPr>
          <w:p w14:paraId="2586C97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2268" w:type="dxa"/>
            <w:vAlign w:val="center"/>
          </w:tcPr>
          <w:p w14:paraId="78A8D82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72FA49A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DE8B2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0BBA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728FAA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486D2EB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5386" w:type="dxa"/>
            <w:vAlign w:val="center"/>
          </w:tcPr>
          <w:p w14:paraId="7460878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2268" w:type="dxa"/>
            <w:vAlign w:val="center"/>
          </w:tcPr>
          <w:p w14:paraId="6ED52D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7C9B0B9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473C13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66D5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669B3DC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4D64809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466286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3A52140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09A492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8F25D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3D9968D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4A759D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641EB59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5386" w:type="dxa"/>
            <w:vAlign w:val="center"/>
          </w:tcPr>
          <w:p w14:paraId="430A2BB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268" w:type="dxa"/>
            <w:vAlign w:val="center"/>
          </w:tcPr>
          <w:p w14:paraId="28F4811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265CCA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5CC92C9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38A3441">
      <w:pPr>
        <w:widowControl w:val="0"/>
        <w:adjustRightInd/>
        <w:snapToGrid/>
        <w:spacing w:after="0"/>
        <w:jc w:val="both"/>
        <w:rPr>
          <w:rFonts w:ascii="宋体" w:hAnsi="宋体" w:eastAsia="宋体" w:cs="Times New Roman"/>
          <w:kern w:val="2"/>
          <w:sz w:val="21"/>
        </w:rPr>
      </w:pPr>
    </w:p>
    <w:p w14:paraId="52C290E7">
      <w:pPr>
        <w:widowControl w:val="0"/>
        <w:adjustRightInd/>
        <w:snapToGrid/>
        <w:spacing w:after="0"/>
        <w:jc w:val="both"/>
        <w:rPr>
          <w:rFonts w:ascii="宋体" w:hAnsi="宋体" w:eastAsia="宋体" w:cs="Times New Roman"/>
          <w:kern w:val="2"/>
          <w:sz w:val="21"/>
        </w:rPr>
      </w:pPr>
    </w:p>
    <w:p w14:paraId="50668B35">
      <w:pPr>
        <w:snapToGrid w:val="0"/>
        <w:spacing w:line="240" w:lineRule="exact"/>
        <w:sectPr>
          <w:headerReference r:id="rId6" w:type="first"/>
          <w:footerReference r:id="rId9" w:type="first"/>
          <w:headerReference r:id="rId4" w:type="default"/>
          <w:footerReference r:id="rId7" w:type="default"/>
          <w:headerReference r:id="rId5" w:type="even"/>
          <w:footerReference r:id="rId8" w:type="even"/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50A23352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9</w:t>
      </w:r>
      <w:r>
        <w:rPr>
          <w:rFonts w:ascii="仿宋" w:hAnsi="仿宋" w:eastAsia="仿宋" w:cs="方正仿宋_GBK"/>
          <w:color w:val="000000"/>
          <w:kern w:val="2"/>
          <w:sz w:val="28"/>
        </w:rPr>
        <w:t>.深泽县城市管网排涝能力提升工程绩效目标表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68334E2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2DB701A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081B7DA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18FA9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1F818AD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13012824P00012710025H</w:t>
            </w:r>
          </w:p>
        </w:tc>
        <w:tc>
          <w:tcPr>
            <w:tcW w:w="2835" w:type="dxa"/>
            <w:vAlign w:val="center"/>
          </w:tcPr>
          <w:p w14:paraId="5EF1C9F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5AF101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深泽县城市管网排涝能力提升工程</w:t>
            </w:r>
          </w:p>
        </w:tc>
      </w:tr>
      <w:tr w14:paraId="532BF0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477F1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24CCABC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6DD4B75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3260.00</w:t>
            </w:r>
          </w:p>
        </w:tc>
        <w:tc>
          <w:tcPr>
            <w:tcW w:w="2835" w:type="dxa"/>
            <w:vAlign w:val="center"/>
          </w:tcPr>
          <w:p w14:paraId="515748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7480AD2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3260.00</w:t>
            </w:r>
          </w:p>
        </w:tc>
        <w:tc>
          <w:tcPr>
            <w:tcW w:w="2268" w:type="dxa"/>
            <w:vAlign w:val="center"/>
          </w:tcPr>
          <w:p w14:paraId="1E942DA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07731A6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1E4C19A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292EE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306BDC5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工程款</w:t>
            </w:r>
          </w:p>
        </w:tc>
      </w:tr>
      <w:tr w14:paraId="3AA3B8F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686E8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3F109DD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68EC62D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08B7E4C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57212A9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22D2F2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ABCD3E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6710DA1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64AE18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00E608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43E6A60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3260.00</w:t>
            </w:r>
          </w:p>
        </w:tc>
      </w:tr>
      <w:tr w14:paraId="2BA278B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CE85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0FF32F7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1.深泽县城市管网排涝能力提升工程</w:t>
            </w:r>
          </w:p>
        </w:tc>
      </w:tr>
    </w:tbl>
    <w:p w14:paraId="3ACFD63B">
      <w:pPr>
        <w:widowControl w:val="0"/>
        <w:adjustRightInd/>
        <w:snapToGrid w:val="0"/>
        <w:spacing w:after="0" w:line="20" w:lineRule="exact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61362D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8A10B0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6483CC1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5D9732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06F1611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21035F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10B52E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12A3A0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6432DB5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5649BAD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4DEA18C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5386" w:type="dxa"/>
            <w:vAlign w:val="center"/>
          </w:tcPr>
          <w:p w14:paraId="79F7161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2268" w:type="dxa"/>
            <w:vAlign w:val="center"/>
          </w:tcPr>
          <w:p w14:paraId="537F81A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≥97%</w:t>
            </w:r>
          </w:p>
        </w:tc>
        <w:tc>
          <w:tcPr>
            <w:tcW w:w="1276" w:type="dxa"/>
            <w:vAlign w:val="center"/>
          </w:tcPr>
          <w:p w14:paraId="0B1272B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9A378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87152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1340ED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6FDB5C7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5386" w:type="dxa"/>
            <w:vAlign w:val="center"/>
          </w:tcPr>
          <w:p w14:paraId="1F3DDF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2268" w:type="dxa"/>
            <w:vAlign w:val="center"/>
          </w:tcPr>
          <w:p w14:paraId="2C69FE8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1992590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3F719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4D3D7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8B7AC3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4F41ED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5386" w:type="dxa"/>
            <w:vAlign w:val="center"/>
          </w:tcPr>
          <w:p w14:paraId="4497EA4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2268" w:type="dxa"/>
            <w:vAlign w:val="center"/>
          </w:tcPr>
          <w:p w14:paraId="32ACDCB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16B76EE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7BA501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5AC0C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7FF1C6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466812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5386" w:type="dxa"/>
            <w:vAlign w:val="center"/>
          </w:tcPr>
          <w:p w14:paraId="4A7C813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2268" w:type="dxa"/>
            <w:vAlign w:val="center"/>
          </w:tcPr>
          <w:p w14:paraId="128834A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3260万元</w:t>
            </w:r>
          </w:p>
        </w:tc>
        <w:tc>
          <w:tcPr>
            <w:tcW w:w="1276" w:type="dxa"/>
            <w:vAlign w:val="center"/>
          </w:tcPr>
          <w:p w14:paraId="167B2A8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269957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56F02D7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5C9B98C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1563944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5386" w:type="dxa"/>
            <w:vAlign w:val="center"/>
          </w:tcPr>
          <w:p w14:paraId="7551D6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2268" w:type="dxa"/>
            <w:vAlign w:val="center"/>
          </w:tcPr>
          <w:p w14:paraId="601170A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1629FC9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41B17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01191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139792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64A52B5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5386" w:type="dxa"/>
            <w:vAlign w:val="center"/>
          </w:tcPr>
          <w:p w14:paraId="71B0A64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2268" w:type="dxa"/>
            <w:vAlign w:val="center"/>
          </w:tcPr>
          <w:p w14:paraId="4FDC3BE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0E00375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6BA63B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136D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745F53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7722EDD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5386" w:type="dxa"/>
            <w:vAlign w:val="center"/>
          </w:tcPr>
          <w:p w14:paraId="32984DC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2268" w:type="dxa"/>
            <w:vAlign w:val="center"/>
          </w:tcPr>
          <w:p w14:paraId="71CF16E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≥97%</w:t>
            </w:r>
          </w:p>
        </w:tc>
        <w:tc>
          <w:tcPr>
            <w:tcW w:w="1276" w:type="dxa"/>
            <w:vAlign w:val="center"/>
          </w:tcPr>
          <w:p w14:paraId="4697D9B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471F14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EF002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3F8E9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6ADA62D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6B99010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18C7FE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E9109B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A31F1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6374B52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362BA49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0853E90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5386" w:type="dxa"/>
            <w:vAlign w:val="center"/>
          </w:tcPr>
          <w:p w14:paraId="06B641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268" w:type="dxa"/>
            <w:vAlign w:val="center"/>
          </w:tcPr>
          <w:p w14:paraId="11EAA7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9F6E9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1A52F02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07B4C39">
      <w:pPr>
        <w:snapToGrid w:val="0"/>
        <w:spacing w:line="240" w:lineRule="exact"/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662D02A5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0</w:t>
      </w:r>
      <w:r>
        <w:rPr>
          <w:rFonts w:ascii="仿宋" w:hAnsi="仿宋" w:eastAsia="仿宋" w:cs="方正仿宋_GBK"/>
          <w:color w:val="000000"/>
          <w:kern w:val="2"/>
          <w:sz w:val="28"/>
        </w:rPr>
        <w:t>.深泽县东外环雨水管网及泵站改造提升工程绩效目标表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093C628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8F5D726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355CB4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E520B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30681A4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13012824P00012710023A</w:t>
            </w:r>
          </w:p>
        </w:tc>
        <w:tc>
          <w:tcPr>
            <w:tcW w:w="2835" w:type="dxa"/>
            <w:vAlign w:val="center"/>
          </w:tcPr>
          <w:p w14:paraId="4E3FF85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6B97989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深泽县东外环雨水管网及泵站改造提升工程</w:t>
            </w:r>
          </w:p>
        </w:tc>
      </w:tr>
      <w:tr w14:paraId="0398560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E370B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4D56807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37F96B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1420.00</w:t>
            </w:r>
          </w:p>
        </w:tc>
        <w:tc>
          <w:tcPr>
            <w:tcW w:w="2835" w:type="dxa"/>
            <w:vAlign w:val="center"/>
          </w:tcPr>
          <w:p w14:paraId="261DE1C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1E2AA3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1420.00</w:t>
            </w:r>
          </w:p>
        </w:tc>
        <w:tc>
          <w:tcPr>
            <w:tcW w:w="2268" w:type="dxa"/>
            <w:vAlign w:val="center"/>
          </w:tcPr>
          <w:p w14:paraId="6D65D9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42414CF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32EA0D3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667136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5103B3F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工程款</w:t>
            </w:r>
          </w:p>
        </w:tc>
      </w:tr>
      <w:tr w14:paraId="271943F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DB1CE1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16B3901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344F714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25176C2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223DD5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17E4563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1481C8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5A669C2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3F1BC39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5B148EA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71F38CE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1420.00</w:t>
            </w:r>
          </w:p>
        </w:tc>
      </w:tr>
      <w:tr w14:paraId="4A18C4B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2F0590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58CA439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1.深泽县东外环雨水管网及泵站改造提升工程</w:t>
            </w:r>
          </w:p>
        </w:tc>
      </w:tr>
    </w:tbl>
    <w:p w14:paraId="74ADA30D">
      <w:pPr>
        <w:widowControl w:val="0"/>
        <w:adjustRightInd/>
        <w:snapToGrid w:val="0"/>
        <w:spacing w:after="0" w:line="20" w:lineRule="exact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752A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6432E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7AFC26A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7DB147D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702181F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200CC64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101F03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46EEEA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3C608CD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50DC1C0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73EC1A0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5386" w:type="dxa"/>
            <w:vAlign w:val="center"/>
          </w:tcPr>
          <w:p w14:paraId="6192319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2268" w:type="dxa"/>
            <w:vAlign w:val="center"/>
          </w:tcPr>
          <w:p w14:paraId="27C64D8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≥97%</w:t>
            </w:r>
          </w:p>
        </w:tc>
        <w:tc>
          <w:tcPr>
            <w:tcW w:w="1276" w:type="dxa"/>
            <w:vAlign w:val="center"/>
          </w:tcPr>
          <w:p w14:paraId="27D176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156C3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E83E63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697EF65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694753E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5386" w:type="dxa"/>
            <w:vAlign w:val="center"/>
          </w:tcPr>
          <w:p w14:paraId="4A2F1E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2268" w:type="dxa"/>
            <w:vAlign w:val="center"/>
          </w:tcPr>
          <w:p w14:paraId="5336945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3789B56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276B3C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80AFDF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3591D99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4D95AC8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5386" w:type="dxa"/>
            <w:vAlign w:val="center"/>
          </w:tcPr>
          <w:p w14:paraId="43D9680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2268" w:type="dxa"/>
            <w:vAlign w:val="center"/>
          </w:tcPr>
          <w:p w14:paraId="50570CF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6D16B6F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4B68F2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0B35D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50F9EC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5E82FE9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5386" w:type="dxa"/>
            <w:vAlign w:val="center"/>
          </w:tcPr>
          <w:p w14:paraId="005A937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2268" w:type="dxa"/>
            <w:vAlign w:val="center"/>
          </w:tcPr>
          <w:p w14:paraId="0D9756A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1420万元</w:t>
            </w:r>
          </w:p>
        </w:tc>
        <w:tc>
          <w:tcPr>
            <w:tcW w:w="1276" w:type="dxa"/>
            <w:vAlign w:val="center"/>
          </w:tcPr>
          <w:p w14:paraId="70DB2C9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AD292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5559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20BF169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483DC4D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5386" w:type="dxa"/>
            <w:vAlign w:val="center"/>
          </w:tcPr>
          <w:p w14:paraId="200AE37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2268" w:type="dxa"/>
            <w:vAlign w:val="center"/>
          </w:tcPr>
          <w:p w14:paraId="2CB4569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1276" w:type="dxa"/>
            <w:vAlign w:val="center"/>
          </w:tcPr>
          <w:p w14:paraId="2FD19BC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8C8F8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02C2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BF4069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31C1F36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5386" w:type="dxa"/>
            <w:vAlign w:val="center"/>
          </w:tcPr>
          <w:p w14:paraId="1B7AA38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2268" w:type="dxa"/>
            <w:vAlign w:val="center"/>
          </w:tcPr>
          <w:p w14:paraId="03C4B7F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313E7F0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50A757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5B91B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D5B45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7DE4BD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5386" w:type="dxa"/>
            <w:vAlign w:val="center"/>
          </w:tcPr>
          <w:p w14:paraId="3C68488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2268" w:type="dxa"/>
            <w:vAlign w:val="center"/>
          </w:tcPr>
          <w:p w14:paraId="402ADA9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≥97%</w:t>
            </w:r>
          </w:p>
        </w:tc>
        <w:tc>
          <w:tcPr>
            <w:tcW w:w="1276" w:type="dxa"/>
            <w:vAlign w:val="center"/>
          </w:tcPr>
          <w:p w14:paraId="0B7DACB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7415F5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C600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1860BDC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0FA1DCD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3443DB0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6ED66AE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CDAFD2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6BE5E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5F46C9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0656355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680AB0A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5386" w:type="dxa"/>
            <w:vAlign w:val="center"/>
          </w:tcPr>
          <w:p w14:paraId="7D26BB9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268" w:type="dxa"/>
            <w:vAlign w:val="center"/>
          </w:tcPr>
          <w:p w14:paraId="54D8CD5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5739904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13651B9A">
      <w:pPr>
        <w:snapToGrid w:val="0"/>
        <w:spacing w:line="240" w:lineRule="exact"/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4A56090D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1</w:t>
      </w:r>
      <w:r>
        <w:rPr>
          <w:rFonts w:ascii="仿宋" w:hAnsi="仿宋" w:eastAsia="仿宋" w:cs="方正仿宋_GBK"/>
          <w:color w:val="000000"/>
          <w:kern w:val="2"/>
          <w:sz w:val="28"/>
        </w:rPr>
        <w:t>.深泽县经济开发区西环路电力管廊建设项目绩效目标表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3514FE3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67181A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7071EAC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5CCEC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1543D74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13012823P00002210016N</w:t>
            </w:r>
          </w:p>
        </w:tc>
        <w:tc>
          <w:tcPr>
            <w:tcW w:w="2835" w:type="dxa"/>
            <w:vAlign w:val="center"/>
          </w:tcPr>
          <w:p w14:paraId="1FA4E01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2FCF9CA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深泽县经济开发区西环路电力管廊建设项目</w:t>
            </w:r>
          </w:p>
        </w:tc>
      </w:tr>
      <w:tr w14:paraId="74FFDBE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F9BE2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268" w:type="dxa"/>
            <w:vAlign w:val="center"/>
          </w:tcPr>
          <w:p w14:paraId="3C9343C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835" w:type="dxa"/>
            <w:vAlign w:val="center"/>
          </w:tcPr>
          <w:p w14:paraId="3184839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3500.00</w:t>
            </w:r>
          </w:p>
        </w:tc>
        <w:tc>
          <w:tcPr>
            <w:tcW w:w="2835" w:type="dxa"/>
            <w:vAlign w:val="center"/>
          </w:tcPr>
          <w:p w14:paraId="13C12C2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551" w:type="dxa"/>
            <w:vAlign w:val="center"/>
          </w:tcPr>
          <w:p w14:paraId="199A886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3500.00</w:t>
            </w:r>
          </w:p>
        </w:tc>
        <w:tc>
          <w:tcPr>
            <w:tcW w:w="2268" w:type="dxa"/>
            <w:vAlign w:val="center"/>
          </w:tcPr>
          <w:p w14:paraId="50C083D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1276" w:type="dxa"/>
            <w:vAlign w:val="center"/>
          </w:tcPr>
          <w:p w14:paraId="22EC5FD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57A934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2AB22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14031" w:type="dxa"/>
            <w:gridSpan w:val="6"/>
            <w:vAlign w:val="center"/>
          </w:tcPr>
          <w:p w14:paraId="419C41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深泽县经济开发区西环路电力管廊建设项目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  <w:r>
              <w:rPr>
                <w:rFonts w:ascii="宋体" w:hAnsi="宋体" w:eastAsia="宋体" w:cs="Times New Roman"/>
                <w:kern w:val="2"/>
                <w:sz w:val="21"/>
              </w:rPr>
              <w:tab/>
            </w:r>
          </w:p>
          <w:p w14:paraId="1A361E8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</w:tr>
      <w:tr w14:paraId="61DBC0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983D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65A7F18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835" w:type="dxa"/>
            <w:vAlign w:val="center"/>
          </w:tcPr>
          <w:p w14:paraId="09D73F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551" w:type="dxa"/>
            <w:vAlign w:val="center"/>
          </w:tcPr>
          <w:p w14:paraId="6532392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1C21909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75AEBDC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B1786E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5102" w:type="dxa"/>
            <w:gridSpan w:val="2"/>
            <w:vAlign w:val="center"/>
          </w:tcPr>
          <w:p w14:paraId="2AF834A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835" w:type="dxa"/>
            <w:vAlign w:val="center"/>
          </w:tcPr>
          <w:p w14:paraId="5FFB607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14:paraId="1B013A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  <w:tc>
          <w:tcPr>
            <w:tcW w:w="3543" w:type="dxa"/>
            <w:gridSpan w:val="2"/>
            <w:vAlign w:val="center"/>
          </w:tcPr>
          <w:p w14:paraId="17B6EEC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3500.00</w:t>
            </w:r>
          </w:p>
        </w:tc>
      </w:tr>
      <w:tr w14:paraId="4C35E21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F4CB7B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2C5A2DD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1.深泽县经济开发区西环路电力管廊建设项目</w:t>
            </w:r>
          </w:p>
        </w:tc>
      </w:tr>
    </w:tbl>
    <w:p w14:paraId="1E7A98F2">
      <w:pPr>
        <w:widowControl w:val="0"/>
        <w:adjustRightInd/>
        <w:snapToGrid w:val="0"/>
        <w:spacing w:after="0" w:line="20" w:lineRule="exact"/>
        <w:jc w:val="both"/>
        <w:rPr>
          <w:rFonts w:ascii="等线" w:hAnsi="等线" w:eastAsia="等线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5E3A4C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98EFD6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268" w:type="dxa"/>
            <w:vAlign w:val="center"/>
          </w:tcPr>
          <w:p w14:paraId="3CC8110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835" w:type="dxa"/>
            <w:vAlign w:val="center"/>
          </w:tcPr>
          <w:p w14:paraId="19DFE5F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5386" w:type="dxa"/>
            <w:vAlign w:val="center"/>
          </w:tcPr>
          <w:p w14:paraId="457BD73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268" w:type="dxa"/>
            <w:vAlign w:val="center"/>
          </w:tcPr>
          <w:p w14:paraId="2B1B7D9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1276" w:type="dxa"/>
            <w:vAlign w:val="center"/>
          </w:tcPr>
          <w:p w14:paraId="3062F37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60794B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7E32D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268" w:type="dxa"/>
            <w:vAlign w:val="center"/>
          </w:tcPr>
          <w:p w14:paraId="0B7BB11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835" w:type="dxa"/>
            <w:vAlign w:val="center"/>
          </w:tcPr>
          <w:p w14:paraId="1360F3F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5386" w:type="dxa"/>
            <w:vAlign w:val="center"/>
          </w:tcPr>
          <w:p w14:paraId="5E1DE0F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工程勘测次数(次)</w:t>
            </w:r>
          </w:p>
        </w:tc>
        <w:tc>
          <w:tcPr>
            <w:tcW w:w="2268" w:type="dxa"/>
            <w:vAlign w:val="center"/>
          </w:tcPr>
          <w:p w14:paraId="1B77B5F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0DFC2E9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35A25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35670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1D257DF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835" w:type="dxa"/>
            <w:vAlign w:val="center"/>
          </w:tcPr>
          <w:p w14:paraId="2493A4E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5386" w:type="dxa"/>
            <w:vAlign w:val="center"/>
          </w:tcPr>
          <w:p w14:paraId="7A98D5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工程质量合格率</w:t>
            </w:r>
          </w:p>
        </w:tc>
        <w:tc>
          <w:tcPr>
            <w:tcW w:w="2268" w:type="dxa"/>
            <w:vAlign w:val="center"/>
          </w:tcPr>
          <w:p w14:paraId="23909D8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093D068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738A2D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AC95C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5CC5990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835" w:type="dxa"/>
            <w:vAlign w:val="center"/>
          </w:tcPr>
          <w:p w14:paraId="6B813FA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5386" w:type="dxa"/>
            <w:vAlign w:val="center"/>
          </w:tcPr>
          <w:p w14:paraId="3577C6D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工程竣工及时率（%）</w:t>
            </w:r>
          </w:p>
        </w:tc>
        <w:tc>
          <w:tcPr>
            <w:tcW w:w="2268" w:type="dxa"/>
            <w:vAlign w:val="center"/>
          </w:tcPr>
          <w:p w14:paraId="5E03FCC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4F4EAC1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04971E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211F0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204619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835" w:type="dxa"/>
            <w:vAlign w:val="center"/>
          </w:tcPr>
          <w:p w14:paraId="5DD4985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5386" w:type="dxa"/>
            <w:vAlign w:val="center"/>
          </w:tcPr>
          <w:p w14:paraId="045AFF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资金成本</w:t>
            </w:r>
          </w:p>
        </w:tc>
        <w:tc>
          <w:tcPr>
            <w:tcW w:w="2268" w:type="dxa"/>
            <w:vAlign w:val="center"/>
          </w:tcPr>
          <w:p w14:paraId="6C0146F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3500万元</w:t>
            </w:r>
          </w:p>
        </w:tc>
        <w:tc>
          <w:tcPr>
            <w:tcW w:w="1276" w:type="dxa"/>
            <w:vAlign w:val="center"/>
          </w:tcPr>
          <w:p w14:paraId="4A16557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E5199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B584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268" w:type="dxa"/>
            <w:vAlign w:val="center"/>
          </w:tcPr>
          <w:p w14:paraId="0004EEE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835" w:type="dxa"/>
            <w:vAlign w:val="center"/>
          </w:tcPr>
          <w:p w14:paraId="589EFB5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5386" w:type="dxa"/>
            <w:vAlign w:val="center"/>
          </w:tcPr>
          <w:p w14:paraId="134E3F3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项目工程完成情况</w:t>
            </w:r>
          </w:p>
        </w:tc>
        <w:tc>
          <w:tcPr>
            <w:tcW w:w="2268" w:type="dxa"/>
            <w:vAlign w:val="center"/>
          </w:tcPr>
          <w:p w14:paraId="227FDC7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728345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18639D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442E1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82DB9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835" w:type="dxa"/>
            <w:vAlign w:val="center"/>
          </w:tcPr>
          <w:p w14:paraId="63C9F4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5386" w:type="dxa"/>
            <w:vAlign w:val="center"/>
          </w:tcPr>
          <w:p w14:paraId="7A4BB3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建设工程质量提高</w:t>
            </w:r>
          </w:p>
        </w:tc>
        <w:tc>
          <w:tcPr>
            <w:tcW w:w="2268" w:type="dxa"/>
            <w:vAlign w:val="center"/>
          </w:tcPr>
          <w:p w14:paraId="0553B12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45125A0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3156C7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0604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4525E03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835" w:type="dxa"/>
            <w:vAlign w:val="center"/>
          </w:tcPr>
          <w:p w14:paraId="37C18C7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5386" w:type="dxa"/>
            <w:vAlign w:val="center"/>
          </w:tcPr>
          <w:p w14:paraId="381590A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生活环境质量提高</w:t>
            </w:r>
          </w:p>
        </w:tc>
        <w:tc>
          <w:tcPr>
            <w:tcW w:w="2268" w:type="dxa"/>
            <w:vAlign w:val="center"/>
          </w:tcPr>
          <w:p w14:paraId="19838E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EF0FD6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4EE55F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D167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</w:p>
        </w:tc>
        <w:tc>
          <w:tcPr>
            <w:tcW w:w="2268" w:type="dxa"/>
            <w:vAlign w:val="center"/>
          </w:tcPr>
          <w:p w14:paraId="0861865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835" w:type="dxa"/>
            <w:vAlign w:val="center"/>
          </w:tcPr>
          <w:p w14:paraId="130A9B9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5386" w:type="dxa"/>
            <w:vAlign w:val="center"/>
          </w:tcPr>
          <w:p w14:paraId="0AA59B4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困难群众基本生活救助保障制度</w:t>
            </w:r>
          </w:p>
        </w:tc>
        <w:tc>
          <w:tcPr>
            <w:tcW w:w="2268" w:type="dxa"/>
            <w:vAlign w:val="center"/>
          </w:tcPr>
          <w:p w14:paraId="3542C4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69378CD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  <w:tr w14:paraId="25073B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080B38D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268" w:type="dxa"/>
            <w:vAlign w:val="center"/>
          </w:tcPr>
          <w:p w14:paraId="7EAE307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835" w:type="dxa"/>
            <w:vAlign w:val="center"/>
          </w:tcPr>
          <w:p w14:paraId="123E393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5386" w:type="dxa"/>
            <w:vAlign w:val="center"/>
          </w:tcPr>
          <w:p w14:paraId="103C29B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268" w:type="dxa"/>
            <w:vAlign w:val="center"/>
          </w:tcPr>
          <w:p w14:paraId="2E59BAA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≥99%</w:t>
            </w:r>
          </w:p>
        </w:tc>
        <w:tc>
          <w:tcPr>
            <w:tcW w:w="1276" w:type="dxa"/>
            <w:vAlign w:val="center"/>
          </w:tcPr>
          <w:p w14:paraId="4659C4F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政府批示</w:t>
            </w:r>
          </w:p>
        </w:tc>
      </w:tr>
    </w:tbl>
    <w:p w14:paraId="3B6ABDDE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128520F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1EF755BD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1EAC33AE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3886691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4A69F83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5A5254F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2FB0C228">
      <w:pPr>
        <w:snapToGrid w:val="0"/>
        <w:spacing w:line="240" w:lineRule="exact"/>
        <w:rPr>
          <w:rFonts w:hint="eastAsia" w:ascii="宋体" w:hAnsi="宋体" w:eastAsia="宋体"/>
        </w:r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5E11E67B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仿宋" w:hAnsi="仿宋" w:eastAsia="仿宋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2.</w:t>
      </w:r>
      <w:r>
        <w:rPr>
          <w:rFonts w:ascii="仿宋" w:hAnsi="仿宋" w:eastAsia="仿宋" w:cs="方正仿宋_GBK"/>
          <w:color w:val="000000"/>
          <w:kern w:val="2"/>
          <w:sz w:val="28"/>
        </w:rPr>
        <w:t>深泽经济开发区雨水泵站及附属设施建设项目绩效目标表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2835"/>
        <w:gridCol w:w="2551"/>
        <w:gridCol w:w="2268"/>
        <w:gridCol w:w="1276"/>
      </w:tblGrid>
      <w:tr w14:paraId="18EF75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307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5067456">
            <w:pPr>
              <w:pStyle w:val="18"/>
            </w:pPr>
            <w:r>
              <w:t>单位：万元</w:t>
            </w:r>
          </w:p>
        </w:tc>
      </w:tr>
      <w:tr w14:paraId="5FED343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28BBDE4">
            <w:pPr>
              <w:pStyle w:val="15"/>
            </w:pPr>
            <w:r>
              <w:t>项目编码</w:t>
            </w:r>
          </w:p>
        </w:tc>
        <w:tc>
          <w:tcPr>
            <w:tcW w:w="5102" w:type="dxa"/>
            <w:gridSpan w:val="2"/>
            <w:vAlign w:val="center"/>
          </w:tcPr>
          <w:p w14:paraId="218D1E9D">
            <w:pPr>
              <w:pStyle w:val="16"/>
            </w:pPr>
            <w:r>
              <w:t>13012824P00013010014H</w:t>
            </w:r>
          </w:p>
        </w:tc>
        <w:tc>
          <w:tcPr>
            <w:tcW w:w="2835" w:type="dxa"/>
            <w:vAlign w:val="center"/>
          </w:tcPr>
          <w:p w14:paraId="69C2495C">
            <w:pPr>
              <w:pStyle w:val="15"/>
            </w:pPr>
            <w:r>
              <w:t>项目名称</w:t>
            </w:r>
          </w:p>
        </w:tc>
        <w:tc>
          <w:tcPr>
            <w:tcW w:w="6094" w:type="dxa"/>
            <w:gridSpan w:val="3"/>
            <w:vAlign w:val="center"/>
          </w:tcPr>
          <w:p w14:paraId="42AFE8E9">
            <w:pPr>
              <w:pStyle w:val="16"/>
            </w:pPr>
            <w:r>
              <w:t>深泽经济开发区雨水泵站及附属设施建设项目</w:t>
            </w:r>
          </w:p>
        </w:tc>
      </w:tr>
      <w:tr w14:paraId="58F6FBB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57B9925">
            <w:pPr>
              <w:pStyle w:val="15"/>
            </w:pPr>
            <w:r>
              <w:t>预算规模及资金用途</w:t>
            </w:r>
          </w:p>
        </w:tc>
        <w:tc>
          <w:tcPr>
            <w:tcW w:w="2268" w:type="dxa"/>
            <w:vAlign w:val="center"/>
          </w:tcPr>
          <w:p w14:paraId="278E9DFF">
            <w:pPr>
              <w:pStyle w:val="15"/>
            </w:pPr>
            <w:r>
              <w:t>预算数</w:t>
            </w:r>
          </w:p>
        </w:tc>
        <w:tc>
          <w:tcPr>
            <w:tcW w:w="2835" w:type="dxa"/>
            <w:vAlign w:val="center"/>
          </w:tcPr>
          <w:p w14:paraId="163ED117">
            <w:pPr>
              <w:pStyle w:val="16"/>
            </w:pPr>
            <w:r>
              <w:t>2290.00</w:t>
            </w:r>
          </w:p>
        </w:tc>
        <w:tc>
          <w:tcPr>
            <w:tcW w:w="2835" w:type="dxa"/>
            <w:vAlign w:val="center"/>
          </w:tcPr>
          <w:p w14:paraId="6F458FAC">
            <w:pPr>
              <w:pStyle w:val="15"/>
            </w:pPr>
            <w:r>
              <w:t>其中：财政    资金</w:t>
            </w:r>
          </w:p>
        </w:tc>
        <w:tc>
          <w:tcPr>
            <w:tcW w:w="2551" w:type="dxa"/>
            <w:vAlign w:val="center"/>
          </w:tcPr>
          <w:p w14:paraId="043D0B7B">
            <w:pPr>
              <w:pStyle w:val="16"/>
            </w:pPr>
            <w:r>
              <w:t>2290.00</w:t>
            </w:r>
          </w:p>
        </w:tc>
        <w:tc>
          <w:tcPr>
            <w:tcW w:w="2268" w:type="dxa"/>
            <w:vAlign w:val="center"/>
          </w:tcPr>
          <w:p w14:paraId="79A35E16">
            <w:pPr>
              <w:pStyle w:val="15"/>
            </w:pPr>
            <w:r>
              <w:t>其他资金</w:t>
            </w:r>
          </w:p>
        </w:tc>
        <w:tc>
          <w:tcPr>
            <w:tcW w:w="1276" w:type="dxa"/>
            <w:vAlign w:val="center"/>
          </w:tcPr>
          <w:p w14:paraId="3E4D643D">
            <w:pPr>
              <w:pStyle w:val="16"/>
            </w:pPr>
            <w:r>
              <w:t xml:space="preserve"> </w:t>
            </w:r>
          </w:p>
        </w:tc>
      </w:tr>
      <w:tr w14:paraId="1328E65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EEA6BCC"/>
        </w:tc>
        <w:tc>
          <w:tcPr>
            <w:tcW w:w="14031" w:type="dxa"/>
            <w:gridSpan w:val="6"/>
            <w:vAlign w:val="center"/>
          </w:tcPr>
          <w:p w14:paraId="6F8BE2FD">
            <w:pPr>
              <w:pStyle w:val="16"/>
            </w:pPr>
            <w:r>
              <w:t>支付深泽经济开发区雨水泵站及附属设施建设项目</w:t>
            </w:r>
          </w:p>
        </w:tc>
      </w:tr>
      <w:tr w14:paraId="7633484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CFCB92">
            <w:pPr>
              <w:pStyle w:val="15"/>
            </w:pPr>
            <w:r>
              <w:t>资金支出计划（%）</w:t>
            </w:r>
          </w:p>
        </w:tc>
        <w:tc>
          <w:tcPr>
            <w:tcW w:w="5102" w:type="dxa"/>
            <w:gridSpan w:val="2"/>
            <w:vAlign w:val="center"/>
          </w:tcPr>
          <w:p w14:paraId="173C24B3">
            <w:pPr>
              <w:pStyle w:val="15"/>
            </w:pPr>
            <w:r>
              <w:t>3月底</w:t>
            </w:r>
          </w:p>
        </w:tc>
        <w:tc>
          <w:tcPr>
            <w:tcW w:w="2835" w:type="dxa"/>
            <w:vAlign w:val="center"/>
          </w:tcPr>
          <w:p w14:paraId="37346D14">
            <w:pPr>
              <w:pStyle w:val="15"/>
            </w:pPr>
            <w:r>
              <w:t>6月底</w:t>
            </w:r>
          </w:p>
        </w:tc>
        <w:tc>
          <w:tcPr>
            <w:tcW w:w="2551" w:type="dxa"/>
            <w:vAlign w:val="center"/>
          </w:tcPr>
          <w:p w14:paraId="31A22C99">
            <w:pPr>
              <w:pStyle w:val="15"/>
            </w:pPr>
            <w:r>
              <w:t>10月底</w:t>
            </w:r>
          </w:p>
        </w:tc>
        <w:tc>
          <w:tcPr>
            <w:tcW w:w="3543" w:type="dxa"/>
            <w:gridSpan w:val="2"/>
            <w:vAlign w:val="center"/>
          </w:tcPr>
          <w:p w14:paraId="2F85ACC8">
            <w:pPr>
              <w:pStyle w:val="15"/>
            </w:pPr>
            <w:r>
              <w:t>12月底</w:t>
            </w:r>
          </w:p>
        </w:tc>
      </w:tr>
      <w:tr w14:paraId="0145056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A67C9B2"/>
        </w:tc>
        <w:tc>
          <w:tcPr>
            <w:tcW w:w="5102" w:type="dxa"/>
            <w:gridSpan w:val="2"/>
            <w:vAlign w:val="center"/>
          </w:tcPr>
          <w:p w14:paraId="33A900B6">
            <w:pPr>
              <w:pStyle w:val="17"/>
            </w:pPr>
            <w:r>
              <w:t>572.50</w:t>
            </w:r>
          </w:p>
        </w:tc>
        <w:tc>
          <w:tcPr>
            <w:tcW w:w="2835" w:type="dxa"/>
            <w:vAlign w:val="center"/>
          </w:tcPr>
          <w:p w14:paraId="2DA33393">
            <w:pPr>
              <w:pStyle w:val="17"/>
            </w:pPr>
            <w:r>
              <w:t>1145.00</w:t>
            </w:r>
          </w:p>
        </w:tc>
        <w:tc>
          <w:tcPr>
            <w:tcW w:w="2551" w:type="dxa"/>
            <w:vAlign w:val="center"/>
          </w:tcPr>
          <w:p w14:paraId="70C5A481">
            <w:pPr>
              <w:pStyle w:val="17"/>
            </w:pPr>
            <w:r>
              <w:t>1717.50</w:t>
            </w:r>
          </w:p>
        </w:tc>
        <w:tc>
          <w:tcPr>
            <w:tcW w:w="3543" w:type="dxa"/>
            <w:gridSpan w:val="2"/>
            <w:vAlign w:val="center"/>
          </w:tcPr>
          <w:p w14:paraId="5DAA6489">
            <w:pPr>
              <w:pStyle w:val="17"/>
            </w:pPr>
            <w:r>
              <w:t>2290.00</w:t>
            </w:r>
          </w:p>
        </w:tc>
      </w:tr>
      <w:tr w14:paraId="696683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39210D9">
            <w:pPr>
              <w:pStyle w:val="15"/>
            </w:pPr>
            <w:r>
              <w:t>绩效目标</w:t>
            </w:r>
          </w:p>
        </w:tc>
        <w:tc>
          <w:tcPr>
            <w:tcW w:w="14031" w:type="dxa"/>
            <w:gridSpan w:val="6"/>
            <w:vAlign w:val="center"/>
          </w:tcPr>
          <w:p w14:paraId="730FB1A2">
            <w:pPr>
              <w:pStyle w:val="16"/>
            </w:pPr>
            <w:r>
              <w:t>1.按时按额拨付相关资金</w:t>
            </w:r>
          </w:p>
        </w:tc>
      </w:tr>
    </w:tbl>
    <w:p w14:paraId="2A3A6186">
      <w:pPr>
        <w:spacing w:line="2" w:lineRule="exact"/>
        <w:jc w:val="center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2268"/>
        <w:gridCol w:w="2835"/>
        <w:gridCol w:w="5386"/>
        <w:gridCol w:w="2268"/>
        <w:gridCol w:w="1276"/>
      </w:tblGrid>
      <w:tr w14:paraId="6BCB56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0D7D6B7">
            <w:pPr>
              <w:pStyle w:val="15"/>
            </w:pPr>
            <w:r>
              <w:t>一级指标</w:t>
            </w:r>
          </w:p>
        </w:tc>
        <w:tc>
          <w:tcPr>
            <w:tcW w:w="2268" w:type="dxa"/>
            <w:vAlign w:val="center"/>
          </w:tcPr>
          <w:p w14:paraId="31AE998D">
            <w:pPr>
              <w:pStyle w:val="15"/>
            </w:pPr>
            <w:r>
              <w:t>二级指标</w:t>
            </w:r>
          </w:p>
        </w:tc>
        <w:tc>
          <w:tcPr>
            <w:tcW w:w="2835" w:type="dxa"/>
            <w:vAlign w:val="center"/>
          </w:tcPr>
          <w:p w14:paraId="2BE220BF">
            <w:pPr>
              <w:pStyle w:val="15"/>
            </w:pPr>
            <w:r>
              <w:t>三级指标</w:t>
            </w:r>
          </w:p>
        </w:tc>
        <w:tc>
          <w:tcPr>
            <w:tcW w:w="5386" w:type="dxa"/>
            <w:vAlign w:val="center"/>
          </w:tcPr>
          <w:p w14:paraId="5FA8A63B">
            <w:pPr>
              <w:pStyle w:val="15"/>
            </w:pPr>
            <w:r>
              <w:t>绩效指标描述</w:t>
            </w:r>
          </w:p>
        </w:tc>
        <w:tc>
          <w:tcPr>
            <w:tcW w:w="2268" w:type="dxa"/>
            <w:vAlign w:val="center"/>
          </w:tcPr>
          <w:p w14:paraId="0977D26B">
            <w:pPr>
              <w:pStyle w:val="15"/>
            </w:pPr>
            <w:r>
              <w:t>指标值</w:t>
            </w:r>
          </w:p>
        </w:tc>
        <w:tc>
          <w:tcPr>
            <w:tcW w:w="1276" w:type="dxa"/>
            <w:vAlign w:val="center"/>
          </w:tcPr>
          <w:p w14:paraId="493DC568">
            <w:pPr>
              <w:pStyle w:val="15"/>
            </w:pPr>
            <w:r>
              <w:t>指标值确定依据</w:t>
            </w:r>
          </w:p>
        </w:tc>
      </w:tr>
      <w:tr w14:paraId="016017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5AC87C">
            <w:pPr>
              <w:pStyle w:val="17"/>
            </w:pPr>
            <w:r>
              <w:t>产出指标</w:t>
            </w:r>
          </w:p>
        </w:tc>
        <w:tc>
          <w:tcPr>
            <w:tcW w:w="2268" w:type="dxa"/>
            <w:vAlign w:val="center"/>
          </w:tcPr>
          <w:p w14:paraId="024EA30B">
            <w:pPr>
              <w:pStyle w:val="16"/>
            </w:pPr>
            <w:r>
              <w:t>数量指标</w:t>
            </w:r>
          </w:p>
        </w:tc>
        <w:tc>
          <w:tcPr>
            <w:tcW w:w="2835" w:type="dxa"/>
            <w:vAlign w:val="center"/>
          </w:tcPr>
          <w:p w14:paraId="7195BE64">
            <w:pPr>
              <w:pStyle w:val="16"/>
            </w:pPr>
            <w:r>
              <w:t>足额拨付率</w:t>
            </w:r>
          </w:p>
        </w:tc>
        <w:tc>
          <w:tcPr>
            <w:tcW w:w="5386" w:type="dxa"/>
            <w:vAlign w:val="center"/>
          </w:tcPr>
          <w:p w14:paraId="18117D66">
            <w:pPr>
              <w:pStyle w:val="16"/>
            </w:pPr>
            <w:r>
              <w:t>足额拨付率</w:t>
            </w:r>
          </w:p>
        </w:tc>
        <w:tc>
          <w:tcPr>
            <w:tcW w:w="2268" w:type="dxa"/>
            <w:vAlign w:val="center"/>
          </w:tcPr>
          <w:p w14:paraId="7E479259">
            <w:pPr>
              <w:pStyle w:val="16"/>
            </w:pPr>
            <w:r>
              <w:t>≥95%</w:t>
            </w:r>
          </w:p>
        </w:tc>
        <w:tc>
          <w:tcPr>
            <w:tcW w:w="1276" w:type="dxa"/>
            <w:vAlign w:val="center"/>
          </w:tcPr>
          <w:p w14:paraId="00A7FDCF">
            <w:pPr>
              <w:pStyle w:val="16"/>
            </w:pPr>
            <w:r>
              <w:t>调研</w:t>
            </w:r>
          </w:p>
        </w:tc>
      </w:tr>
      <w:tr w14:paraId="1432D5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6F2ED8"/>
        </w:tc>
        <w:tc>
          <w:tcPr>
            <w:tcW w:w="2268" w:type="dxa"/>
            <w:vAlign w:val="center"/>
          </w:tcPr>
          <w:p w14:paraId="5015CD5D">
            <w:pPr>
              <w:pStyle w:val="16"/>
            </w:pPr>
            <w:r>
              <w:t>质量指标</w:t>
            </w:r>
          </w:p>
        </w:tc>
        <w:tc>
          <w:tcPr>
            <w:tcW w:w="2835" w:type="dxa"/>
            <w:vAlign w:val="center"/>
          </w:tcPr>
          <w:p w14:paraId="7A5E8A73">
            <w:pPr>
              <w:pStyle w:val="16"/>
            </w:pPr>
            <w:r>
              <w:t>支付覆盖率</w:t>
            </w:r>
          </w:p>
        </w:tc>
        <w:tc>
          <w:tcPr>
            <w:tcW w:w="5386" w:type="dxa"/>
            <w:vAlign w:val="center"/>
          </w:tcPr>
          <w:p w14:paraId="1D364352">
            <w:pPr>
              <w:pStyle w:val="16"/>
            </w:pPr>
            <w:r>
              <w:t>支付覆盖率</w:t>
            </w:r>
          </w:p>
        </w:tc>
        <w:tc>
          <w:tcPr>
            <w:tcW w:w="2268" w:type="dxa"/>
            <w:vAlign w:val="center"/>
          </w:tcPr>
          <w:p w14:paraId="302CD1E0">
            <w:pPr>
              <w:pStyle w:val="16"/>
            </w:pPr>
            <w:r>
              <w:t>≥95%</w:t>
            </w:r>
          </w:p>
        </w:tc>
        <w:tc>
          <w:tcPr>
            <w:tcW w:w="1276" w:type="dxa"/>
            <w:vAlign w:val="center"/>
          </w:tcPr>
          <w:p w14:paraId="1A690E89">
            <w:pPr>
              <w:pStyle w:val="16"/>
            </w:pPr>
            <w:r>
              <w:t>调研</w:t>
            </w:r>
          </w:p>
        </w:tc>
      </w:tr>
      <w:tr w14:paraId="4DBCB7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9878F7"/>
        </w:tc>
        <w:tc>
          <w:tcPr>
            <w:tcW w:w="2268" w:type="dxa"/>
            <w:vAlign w:val="center"/>
          </w:tcPr>
          <w:p w14:paraId="3C3F1948">
            <w:pPr>
              <w:pStyle w:val="16"/>
            </w:pPr>
            <w:r>
              <w:t>时效指标</w:t>
            </w:r>
          </w:p>
        </w:tc>
        <w:tc>
          <w:tcPr>
            <w:tcW w:w="2835" w:type="dxa"/>
            <w:vAlign w:val="center"/>
          </w:tcPr>
          <w:p w14:paraId="2DD96CFC">
            <w:pPr>
              <w:pStyle w:val="16"/>
            </w:pPr>
            <w:r>
              <w:t>拨款及时率</w:t>
            </w:r>
          </w:p>
        </w:tc>
        <w:tc>
          <w:tcPr>
            <w:tcW w:w="5386" w:type="dxa"/>
            <w:vAlign w:val="center"/>
          </w:tcPr>
          <w:p w14:paraId="6CEF114D">
            <w:pPr>
              <w:pStyle w:val="16"/>
            </w:pPr>
            <w:r>
              <w:t>拨款及时率</w:t>
            </w:r>
          </w:p>
        </w:tc>
        <w:tc>
          <w:tcPr>
            <w:tcW w:w="2268" w:type="dxa"/>
            <w:vAlign w:val="center"/>
          </w:tcPr>
          <w:p w14:paraId="3EC4C1E4">
            <w:pPr>
              <w:pStyle w:val="16"/>
            </w:pPr>
            <w:r>
              <w:t>≥95%</w:t>
            </w:r>
          </w:p>
        </w:tc>
        <w:tc>
          <w:tcPr>
            <w:tcW w:w="1276" w:type="dxa"/>
            <w:vAlign w:val="center"/>
          </w:tcPr>
          <w:p w14:paraId="3DDAB7F9">
            <w:pPr>
              <w:pStyle w:val="16"/>
            </w:pPr>
            <w:r>
              <w:t>调研</w:t>
            </w:r>
          </w:p>
        </w:tc>
      </w:tr>
      <w:tr w14:paraId="57A6AE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5866F0"/>
        </w:tc>
        <w:tc>
          <w:tcPr>
            <w:tcW w:w="2268" w:type="dxa"/>
            <w:vAlign w:val="center"/>
          </w:tcPr>
          <w:p w14:paraId="4CE843DD">
            <w:pPr>
              <w:pStyle w:val="16"/>
            </w:pPr>
            <w:r>
              <w:t>成本指标</w:t>
            </w:r>
          </w:p>
        </w:tc>
        <w:tc>
          <w:tcPr>
            <w:tcW w:w="2835" w:type="dxa"/>
            <w:vAlign w:val="center"/>
          </w:tcPr>
          <w:p w14:paraId="060AEFC5">
            <w:pPr>
              <w:pStyle w:val="16"/>
            </w:pPr>
            <w:r>
              <w:t>不超过预算数</w:t>
            </w:r>
          </w:p>
        </w:tc>
        <w:tc>
          <w:tcPr>
            <w:tcW w:w="5386" w:type="dxa"/>
            <w:vAlign w:val="center"/>
          </w:tcPr>
          <w:p w14:paraId="0DD9A1E2">
            <w:pPr>
              <w:pStyle w:val="16"/>
            </w:pPr>
            <w:r>
              <w:t>不超过预算数</w:t>
            </w:r>
          </w:p>
        </w:tc>
        <w:tc>
          <w:tcPr>
            <w:tcW w:w="2268" w:type="dxa"/>
            <w:vAlign w:val="center"/>
          </w:tcPr>
          <w:p w14:paraId="74C06839">
            <w:pPr>
              <w:pStyle w:val="16"/>
            </w:pPr>
            <w:r>
              <w:t>≤2290万元</w:t>
            </w:r>
          </w:p>
        </w:tc>
        <w:tc>
          <w:tcPr>
            <w:tcW w:w="1276" w:type="dxa"/>
            <w:vAlign w:val="center"/>
          </w:tcPr>
          <w:p w14:paraId="0EB1DEA9">
            <w:pPr>
              <w:pStyle w:val="16"/>
            </w:pPr>
            <w:r>
              <w:t>调研</w:t>
            </w:r>
          </w:p>
        </w:tc>
      </w:tr>
      <w:tr w14:paraId="4DA167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restart"/>
            <w:vAlign w:val="center"/>
          </w:tcPr>
          <w:p w14:paraId="2E6F1C84">
            <w:pPr>
              <w:pStyle w:val="17"/>
            </w:pPr>
            <w:r>
              <w:t>效益指标</w:t>
            </w:r>
          </w:p>
        </w:tc>
        <w:tc>
          <w:tcPr>
            <w:tcW w:w="2268" w:type="dxa"/>
            <w:vAlign w:val="center"/>
          </w:tcPr>
          <w:p w14:paraId="4E4EC3C7">
            <w:pPr>
              <w:pStyle w:val="16"/>
            </w:pPr>
            <w:r>
              <w:t>经济效益指标</w:t>
            </w:r>
          </w:p>
        </w:tc>
        <w:tc>
          <w:tcPr>
            <w:tcW w:w="2835" w:type="dxa"/>
            <w:vAlign w:val="center"/>
          </w:tcPr>
          <w:p w14:paraId="74FDD40F">
            <w:pPr>
              <w:pStyle w:val="16"/>
            </w:pPr>
            <w:r>
              <w:t>经济发展提升率</w:t>
            </w:r>
          </w:p>
        </w:tc>
        <w:tc>
          <w:tcPr>
            <w:tcW w:w="5386" w:type="dxa"/>
            <w:vAlign w:val="center"/>
          </w:tcPr>
          <w:p w14:paraId="30551363">
            <w:pPr>
              <w:pStyle w:val="16"/>
            </w:pPr>
            <w:r>
              <w:t>经济发展提升率</w:t>
            </w:r>
          </w:p>
        </w:tc>
        <w:tc>
          <w:tcPr>
            <w:tcW w:w="2268" w:type="dxa"/>
            <w:vAlign w:val="center"/>
          </w:tcPr>
          <w:p w14:paraId="063E3395">
            <w:pPr>
              <w:pStyle w:val="16"/>
            </w:pPr>
            <w:r>
              <w:t>≥60%</w:t>
            </w:r>
          </w:p>
        </w:tc>
        <w:tc>
          <w:tcPr>
            <w:tcW w:w="1276" w:type="dxa"/>
            <w:vAlign w:val="center"/>
          </w:tcPr>
          <w:p w14:paraId="32CBAEC5">
            <w:pPr>
              <w:pStyle w:val="16"/>
            </w:pPr>
            <w:r>
              <w:t>调研</w:t>
            </w:r>
          </w:p>
        </w:tc>
      </w:tr>
      <w:tr w14:paraId="334CBE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612E1D"/>
        </w:tc>
        <w:tc>
          <w:tcPr>
            <w:tcW w:w="2268" w:type="dxa"/>
            <w:vAlign w:val="center"/>
          </w:tcPr>
          <w:p w14:paraId="73E35C77">
            <w:pPr>
              <w:pStyle w:val="16"/>
            </w:pPr>
            <w:r>
              <w:t>社会效益指标</w:t>
            </w:r>
          </w:p>
        </w:tc>
        <w:tc>
          <w:tcPr>
            <w:tcW w:w="2835" w:type="dxa"/>
            <w:vAlign w:val="center"/>
          </w:tcPr>
          <w:p w14:paraId="0F689901">
            <w:pPr>
              <w:pStyle w:val="16"/>
            </w:pPr>
            <w:r>
              <w:t>促进社会发展率</w:t>
            </w:r>
          </w:p>
        </w:tc>
        <w:tc>
          <w:tcPr>
            <w:tcW w:w="5386" w:type="dxa"/>
            <w:vAlign w:val="center"/>
          </w:tcPr>
          <w:p w14:paraId="18B325DD">
            <w:pPr>
              <w:pStyle w:val="16"/>
            </w:pPr>
            <w:r>
              <w:t>促进社会发展率</w:t>
            </w:r>
          </w:p>
        </w:tc>
        <w:tc>
          <w:tcPr>
            <w:tcW w:w="2268" w:type="dxa"/>
            <w:vAlign w:val="center"/>
          </w:tcPr>
          <w:p w14:paraId="14BC78D2">
            <w:pPr>
              <w:pStyle w:val="16"/>
            </w:pPr>
            <w:r>
              <w:t>≥65%</w:t>
            </w:r>
          </w:p>
        </w:tc>
        <w:tc>
          <w:tcPr>
            <w:tcW w:w="1276" w:type="dxa"/>
            <w:vAlign w:val="center"/>
          </w:tcPr>
          <w:p w14:paraId="2C7F925E">
            <w:pPr>
              <w:pStyle w:val="16"/>
            </w:pPr>
            <w:r>
              <w:t>调研</w:t>
            </w:r>
          </w:p>
        </w:tc>
      </w:tr>
      <w:tr w14:paraId="428FBC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88D4ED"/>
        </w:tc>
        <w:tc>
          <w:tcPr>
            <w:tcW w:w="2268" w:type="dxa"/>
            <w:vAlign w:val="center"/>
          </w:tcPr>
          <w:p w14:paraId="3496C080">
            <w:pPr>
              <w:pStyle w:val="16"/>
            </w:pPr>
            <w:r>
              <w:t>生态效益指标</w:t>
            </w:r>
          </w:p>
        </w:tc>
        <w:tc>
          <w:tcPr>
            <w:tcW w:w="2835" w:type="dxa"/>
            <w:vAlign w:val="center"/>
          </w:tcPr>
          <w:p w14:paraId="2D47B79F">
            <w:pPr>
              <w:pStyle w:val="16"/>
            </w:pPr>
            <w:r>
              <w:t>生态破坏率</w:t>
            </w:r>
          </w:p>
        </w:tc>
        <w:tc>
          <w:tcPr>
            <w:tcW w:w="5386" w:type="dxa"/>
            <w:vAlign w:val="center"/>
          </w:tcPr>
          <w:p w14:paraId="3CC21392">
            <w:pPr>
              <w:pStyle w:val="16"/>
            </w:pPr>
            <w:r>
              <w:t>生态破坏率</w:t>
            </w:r>
          </w:p>
        </w:tc>
        <w:tc>
          <w:tcPr>
            <w:tcW w:w="2268" w:type="dxa"/>
            <w:vAlign w:val="center"/>
          </w:tcPr>
          <w:p w14:paraId="181384A3">
            <w:pPr>
              <w:pStyle w:val="16"/>
            </w:pPr>
            <w:r>
              <w:t>≤5%</w:t>
            </w:r>
          </w:p>
        </w:tc>
        <w:tc>
          <w:tcPr>
            <w:tcW w:w="1276" w:type="dxa"/>
            <w:vAlign w:val="center"/>
          </w:tcPr>
          <w:p w14:paraId="7704BB57">
            <w:pPr>
              <w:pStyle w:val="16"/>
            </w:pPr>
            <w:r>
              <w:t>调研</w:t>
            </w:r>
          </w:p>
        </w:tc>
      </w:tr>
      <w:tr w14:paraId="2E6B47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1FE2C1"/>
        </w:tc>
        <w:tc>
          <w:tcPr>
            <w:tcW w:w="2268" w:type="dxa"/>
            <w:vAlign w:val="center"/>
          </w:tcPr>
          <w:p w14:paraId="3B7EE584">
            <w:pPr>
              <w:pStyle w:val="16"/>
            </w:pPr>
            <w:r>
              <w:t>可持续影响指标</w:t>
            </w:r>
          </w:p>
        </w:tc>
        <w:tc>
          <w:tcPr>
            <w:tcW w:w="2835" w:type="dxa"/>
            <w:vAlign w:val="center"/>
          </w:tcPr>
          <w:p w14:paraId="51E1D281">
            <w:pPr>
              <w:pStyle w:val="16"/>
            </w:pPr>
            <w:r>
              <w:t>发展可持续性</w:t>
            </w:r>
          </w:p>
        </w:tc>
        <w:tc>
          <w:tcPr>
            <w:tcW w:w="5386" w:type="dxa"/>
            <w:vAlign w:val="center"/>
          </w:tcPr>
          <w:p w14:paraId="6D9A1241">
            <w:pPr>
              <w:pStyle w:val="16"/>
            </w:pPr>
            <w:r>
              <w:t>发展可持续性</w:t>
            </w:r>
          </w:p>
        </w:tc>
        <w:tc>
          <w:tcPr>
            <w:tcW w:w="2268" w:type="dxa"/>
            <w:vAlign w:val="center"/>
          </w:tcPr>
          <w:p w14:paraId="7F04A972">
            <w:pPr>
              <w:pStyle w:val="16"/>
            </w:pPr>
            <w:r>
              <w:t>≥1年</w:t>
            </w:r>
          </w:p>
        </w:tc>
        <w:tc>
          <w:tcPr>
            <w:tcW w:w="1276" w:type="dxa"/>
            <w:vAlign w:val="center"/>
          </w:tcPr>
          <w:p w14:paraId="3AF2D966">
            <w:pPr>
              <w:pStyle w:val="16"/>
            </w:pPr>
            <w:r>
              <w:t>调研</w:t>
            </w:r>
          </w:p>
        </w:tc>
      </w:tr>
      <w:tr w14:paraId="1A89BD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276" w:type="dxa"/>
            <w:vAlign w:val="center"/>
          </w:tcPr>
          <w:p w14:paraId="4033B5A9">
            <w:pPr>
              <w:pStyle w:val="17"/>
            </w:pPr>
            <w:r>
              <w:t>满意度指标</w:t>
            </w:r>
          </w:p>
        </w:tc>
        <w:tc>
          <w:tcPr>
            <w:tcW w:w="2268" w:type="dxa"/>
            <w:vAlign w:val="center"/>
          </w:tcPr>
          <w:p w14:paraId="7CEF0E27">
            <w:pPr>
              <w:pStyle w:val="16"/>
            </w:pPr>
            <w:r>
              <w:t>服务对象满意度指标</w:t>
            </w:r>
          </w:p>
        </w:tc>
        <w:tc>
          <w:tcPr>
            <w:tcW w:w="2835" w:type="dxa"/>
            <w:vAlign w:val="center"/>
          </w:tcPr>
          <w:p w14:paraId="7D688B34">
            <w:pPr>
              <w:pStyle w:val="16"/>
            </w:pPr>
            <w:r>
              <w:t>服务对象满意度</w:t>
            </w:r>
          </w:p>
        </w:tc>
        <w:tc>
          <w:tcPr>
            <w:tcW w:w="5386" w:type="dxa"/>
            <w:vAlign w:val="center"/>
          </w:tcPr>
          <w:p w14:paraId="283E0D9A">
            <w:pPr>
              <w:pStyle w:val="16"/>
            </w:pPr>
            <w:r>
              <w:t>服务对象满意度</w:t>
            </w:r>
          </w:p>
        </w:tc>
        <w:tc>
          <w:tcPr>
            <w:tcW w:w="2268" w:type="dxa"/>
            <w:vAlign w:val="center"/>
          </w:tcPr>
          <w:p w14:paraId="05B3678B">
            <w:pPr>
              <w:pStyle w:val="16"/>
            </w:pPr>
            <w:r>
              <w:t>≥90%</w:t>
            </w:r>
          </w:p>
        </w:tc>
        <w:tc>
          <w:tcPr>
            <w:tcW w:w="1276" w:type="dxa"/>
            <w:vAlign w:val="center"/>
          </w:tcPr>
          <w:p w14:paraId="3D8DA42C">
            <w:pPr>
              <w:pStyle w:val="16"/>
            </w:pPr>
            <w:r>
              <w:t>调研</w:t>
            </w:r>
          </w:p>
        </w:tc>
      </w:tr>
    </w:tbl>
    <w:p w14:paraId="787C42E3">
      <w:p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72A97343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3</w:t>
      </w:r>
      <w:r>
        <w:rPr>
          <w:rFonts w:ascii="仿宋" w:hAnsi="仿宋" w:eastAsia="仿宋" w:cs="方正仿宋_GBK"/>
          <w:color w:val="000000"/>
          <w:kern w:val="2"/>
          <w:sz w:val="28"/>
        </w:rPr>
        <w:t>.</w:t>
      </w:r>
      <w:r>
        <w:rPr>
          <w:rFonts w:hint="eastAsia" w:ascii="仿宋" w:hAnsi="仿宋" w:eastAsia="仿宋" w:cs="方正仿宋_GBK"/>
          <w:color w:val="000000"/>
          <w:kern w:val="2"/>
          <w:sz w:val="28"/>
        </w:rPr>
        <w:t>关于下达增发2023年国债灾后恢复重建和提升防灾减灾能力补助资金绩效目标表</w:t>
      </w:r>
    </w:p>
    <w:tbl>
      <w:tblPr>
        <w:tblStyle w:val="9"/>
        <w:tblW w:w="14865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1601"/>
        <w:gridCol w:w="2114"/>
        <w:gridCol w:w="2694"/>
      </w:tblGrid>
      <w:tr w14:paraId="357C335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865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556A62A2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2D8B78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852B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73DA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13012824P000095100032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FD6A0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409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8B0D4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关于下达增发2023年国债灾后恢复重建和提升防灾减灾能力补助资金</w:t>
            </w:r>
          </w:p>
        </w:tc>
      </w:tr>
      <w:tr w14:paraId="4478DCC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8EAEE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52427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D4962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2379.00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E96BA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16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A70022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2379.00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31B82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26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341E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139D972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D45E1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12751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9AF23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关于下达增发2023年国债灾后恢复重建和提升防灾减灾能力补助资金</w:t>
            </w:r>
          </w:p>
        </w:tc>
      </w:tr>
      <w:tr w14:paraId="60AC33F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F6D63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5CB57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1E9D1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16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83BC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480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78F41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4AC331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2930B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C7F0D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FCDCF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1500.00</w:t>
            </w:r>
          </w:p>
        </w:tc>
        <w:tc>
          <w:tcPr>
            <w:tcW w:w="160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42A6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1800.00</w:t>
            </w:r>
          </w:p>
        </w:tc>
        <w:tc>
          <w:tcPr>
            <w:tcW w:w="480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F927C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2379.00</w:t>
            </w:r>
          </w:p>
        </w:tc>
      </w:tr>
      <w:tr w14:paraId="0EFD8AA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36CAF1F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2751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695A370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hint="eastAsia"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1.关于下达增发2023年国债灾后恢复重建和提升防灾减灾能力补助资金</w:t>
            </w:r>
          </w:p>
        </w:tc>
      </w:tr>
    </w:tbl>
    <w:p w14:paraId="1209D57D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1487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722"/>
        <w:gridCol w:w="2127"/>
        <w:gridCol w:w="3685"/>
      </w:tblGrid>
      <w:tr w14:paraId="67BB7E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1AA0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54003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242F3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9352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32055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D577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271772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561D0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B2B10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4AA1A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24F96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3F75B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≥100数量指标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0331E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3DB112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096F3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559C2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04774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542D0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49386F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≥100质量指标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D4FFE1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53A0F6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4F5EF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7E8F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D3B3E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保障工作时效性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19E26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保障工作时效性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6543B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≥100保障工作时效性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282548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745BE6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15622C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91D2E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50392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控制在成本内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86939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控制在成本内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FDAFC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≥100控制在成本内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756023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5DDF22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55624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6BFF9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2FB4A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B673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B958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≥100经济效益指标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E21845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49286A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462AB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EAA19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AE91D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社会影响力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49998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社会影响力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1D1688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≥100社会影响力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360CF3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5FA855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69B7E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BB77E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82CB79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AAEA9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EA596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≥100生态效益指标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65CDCE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  <w:tr w14:paraId="302776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600D6D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744DF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60BA7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7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968B6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12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A5F2F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≥100服务对象满意度</w:t>
            </w:r>
          </w:p>
        </w:tc>
        <w:tc>
          <w:tcPr>
            <w:tcW w:w="3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840AB9">
            <w:pPr>
              <w:widowControl w:val="0"/>
              <w:adjustRightInd/>
              <w:snapToGrid/>
              <w:spacing w:after="0"/>
              <w:jc w:val="both"/>
              <w:rPr>
                <w:rFonts w:ascii="等线" w:hAnsi="等线" w:eastAsia="等线" w:cs="Times New Roman"/>
                <w:kern w:val="2"/>
                <w:sz w:val="21"/>
              </w:rPr>
            </w:pPr>
            <w:r>
              <w:rPr>
                <w:rFonts w:hint="eastAsia" w:ascii="宋体" w:hAnsi="宋体" w:eastAsia="宋体" w:cs="Times New Roman"/>
                <w:kern w:val="2"/>
                <w:sz w:val="21"/>
              </w:rPr>
              <w:t>按</w:t>
            </w:r>
            <w:r>
              <w:rPr>
                <w:rFonts w:ascii="宋体" w:hAnsi="宋体" w:eastAsia="宋体" w:cs="Times New Roman"/>
                <w:kern w:val="2"/>
                <w:sz w:val="21"/>
              </w:rPr>
              <w:t>文件</w:t>
            </w:r>
            <w:r>
              <w:rPr>
                <w:rFonts w:hint="eastAsia" w:ascii="宋体" w:hAnsi="宋体" w:eastAsia="宋体" w:cs="Times New Roman"/>
                <w:kern w:val="2"/>
                <w:sz w:val="21"/>
              </w:rPr>
              <w:t>完成</w:t>
            </w:r>
          </w:p>
        </w:tc>
      </w:tr>
    </w:tbl>
    <w:p w14:paraId="4B8CD405">
      <w:pPr>
        <w:snapToGrid w:val="0"/>
        <w:spacing w:line="240" w:lineRule="exact"/>
        <w:rPr>
          <w:rFonts w:ascii="宋体" w:hAnsi="宋体" w:eastAsia="宋体"/>
        </w:r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4FB1661C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4</w:t>
      </w:r>
      <w:r>
        <w:rPr>
          <w:rFonts w:ascii="仿宋" w:hAnsi="仿宋" w:eastAsia="仿宋" w:cs="方正仿宋_GBK"/>
          <w:color w:val="000000"/>
          <w:kern w:val="2"/>
          <w:sz w:val="28"/>
        </w:rPr>
        <w:t>.</w:t>
      </w:r>
      <w:r>
        <w:rPr>
          <w:rFonts w:hint="eastAsia" w:ascii="仿宋" w:hAnsi="仿宋" w:eastAsia="仿宋" w:cs="方正仿宋_GBK"/>
          <w:color w:val="000000"/>
          <w:kern w:val="2"/>
          <w:sz w:val="28"/>
        </w:rPr>
        <w:t>深泽县农村饮水管网改造巩固提升工程绩效目标表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2114"/>
        <w:gridCol w:w="2114"/>
        <w:gridCol w:w="2114"/>
      </w:tblGrid>
      <w:tr w14:paraId="26E5F6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798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0D688977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04B953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13C3E1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10E35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13012823P000957100024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07115B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342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56478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深泽县农村饮水管网改造巩固提升工程</w:t>
            </w:r>
          </w:p>
        </w:tc>
      </w:tr>
      <w:tr w14:paraId="67FD9AB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BA424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2F13A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4AAF28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2222.30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3C937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F08B4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2222.30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7D2E6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08368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3861233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4BE15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25661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深泽县农村饮水管网改造巩固提升工程</w:t>
            </w:r>
          </w:p>
        </w:tc>
      </w:tr>
      <w:tr w14:paraId="4062F84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70CDD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BAD9C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A72B0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AC14B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8AA5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1205BAA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60FE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76C7B1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E59D4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1500.00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3D0B5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1800.00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CAD9F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2222.30</w:t>
            </w:r>
          </w:p>
        </w:tc>
      </w:tr>
      <w:tr w14:paraId="2C277C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6F98482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4613E8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1.深泽县农村饮水管网改造巩固提升工程</w:t>
            </w:r>
          </w:p>
          <w:p w14:paraId="46D89BA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2.保障农村饮水</w:t>
            </w:r>
          </w:p>
          <w:p w14:paraId="1B8A345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3.农村饮水安全</w:t>
            </w:r>
          </w:p>
        </w:tc>
      </w:tr>
    </w:tbl>
    <w:p w14:paraId="1B32857F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1479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4228"/>
        <w:gridCol w:w="2114"/>
        <w:gridCol w:w="2114"/>
      </w:tblGrid>
      <w:tr w14:paraId="2EBC75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D11E1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6C664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45A37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6D24B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C455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A03B7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76A71C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74E4E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D0250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FD83F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DAB4F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0CE9A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54169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1B5A10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E9C47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30F9E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39C23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62D67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414F4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49F1A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364D8B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3370C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67F8B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EE982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hint="eastAsia"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工作完成的时效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4FF4A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hint="eastAsia"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工作完成的时效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35C01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hint="eastAsia"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≥100工作完成的时效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BBF0C6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2ADEB4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26329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B7FD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AA9EB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F4573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FE2A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D0E87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1A0154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EA507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332D6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B97F1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社会影响力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9EFC4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社会影响力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8CE4C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≥100社会影响力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DFEF3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39EB61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175D12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AE975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生态效益指标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DF812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满足生态环保要求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9C80C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满足生态环保要求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15258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≥100满足生态环保要求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5314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  <w:tr w14:paraId="4D2946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C362C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60525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D54511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A9207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A9168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≥100服务对象满意度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2E838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农村饮水管网改造巩固提升</w:t>
            </w:r>
          </w:p>
        </w:tc>
      </w:tr>
    </w:tbl>
    <w:p w14:paraId="5353C496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B29A214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EA911C5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5B0A2A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551CD33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5809D2D9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080BBDEC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34821274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60E0326F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76088400">
      <w:pPr>
        <w:widowControl w:val="0"/>
        <w:adjustRightInd/>
        <w:snapToGrid w:val="0"/>
        <w:spacing w:after="0" w:line="240" w:lineRule="exact"/>
        <w:jc w:val="both"/>
        <w:rPr>
          <w:rFonts w:ascii="宋体" w:hAnsi="宋体" w:eastAsia="宋体" w:cs="Times New Roman"/>
          <w:kern w:val="2"/>
          <w:sz w:val="21"/>
        </w:rPr>
      </w:pPr>
    </w:p>
    <w:p w14:paraId="46513355">
      <w:pPr>
        <w:widowControl w:val="0"/>
        <w:adjustRightInd/>
        <w:snapToGrid w:val="0"/>
        <w:spacing w:after="0" w:line="60" w:lineRule="atLeast"/>
        <w:ind w:firstLine="560"/>
        <w:jc w:val="both"/>
        <w:rPr>
          <w:rFonts w:ascii="方正仿宋_GBK" w:hAnsi="方正仿宋_GBK" w:eastAsia="方正仿宋_GBK" w:cs="方正仿宋_GBK"/>
          <w:color w:val="000000"/>
          <w:kern w:val="2"/>
          <w:sz w:val="28"/>
        </w:rPr>
      </w:pPr>
      <w:r>
        <w:rPr>
          <w:rFonts w:ascii="仿宋" w:hAnsi="仿宋" w:eastAsia="仿宋" w:cs="方正仿宋_GBK"/>
          <w:color w:val="000000"/>
          <w:kern w:val="2"/>
          <w:sz w:val="28"/>
        </w:rPr>
        <w:t>1</w:t>
      </w:r>
      <w:r>
        <w:rPr>
          <w:rFonts w:hint="eastAsia" w:ascii="仿宋" w:hAnsi="仿宋" w:eastAsia="仿宋" w:cs="方正仿宋_GBK"/>
          <w:color w:val="000000"/>
          <w:kern w:val="2"/>
          <w:sz w:val="28"/>
          <w:lang w:val="en-US" w:eastAsia="zh-CN"/>
        </w:rPr>
        <w:t>5</w:t>
      </w:r>
      <w:r>
        <w:rPr>
          <w:rFonts w:ascii="仿宋" w:hAnsi="仿宋" w:eastAsia="仿宋" w:cs="方正仿宋_GBK"/>
          <w:color w:val="000000"/>
          <w:kern w:val="2"/>
          <w:sz w:val="28"/>
        </w:rPr>
        <w:t>.</w:t>
      </w:r>
      <w:r>
        <w:rPr>
          <w:rFonts w:hint="eastAsia" w:ascii="仿宋" w:hAnsi="仿宋" w:eastAsia="仿宋" w:cs="方正仿宋_GBK"/>
          <w:color w:val="000000"/>
          <w:kern w:val="2"/>
          <w:sz w:val="28"/>
        </w:rPr>
        <w:t>河北省深泽县气象局灾后恢复重建提升防灾减灾能力项目(国债）绩效目标表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2114"/>
        <w:gridCol w:w="2114"/>
        <w:gridCol w:w="2114"/>
        <w:gridCol w:w="2114"/>
      </w:tblGrid>
      <w:tr w14:paraId="1ECFBBF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4798" w:type="dxa"/>
            <w:gridSpan w:val="7"/>
            <w:tcBorders>
              <w:top w:val="single" w:color="FFFFFF" w:sz="6" w:space="0"/>
              <w:left w:val="single" w:color="FFFFFF" w:sz="6" w:space="0"/>
              <w:bottom w:val="single" w:color="000000" w:sz="6" w:space="0"/>
              <w:right w:val="single" w:color="FFFFFF" w:sz="6" w:space="0"/>
            </w:tcBorders>
            <w:vAlign w:val="center"/>
          </w:tcPr>
          <w:p w14:paraId="02EFD19B">
            <w:pPr>
              <w:widowControl w:val="0"/>
              <w:adjustRightInd/>
              <w:snapToGrid w:val="0"/>
              <w:spacing w:after="0" w:line="240" w:lineRule="exact"/>
              <w:jc w:val="right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单位：万元</w:t>
            </w:r>
          </w:p>
        </w:tc>
      </w:tr>
      <w:tr w14:paraId="150B63A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DAA78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项目编码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05149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13012823P00009510006E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B3DF7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项目名称</w:t>
            </w:r>
          </w:p>
        </w:tc>
        <w:tc>
          <w:tcPr>
            <w:tcW w:w="6342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B0A1B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河北省深泽县气象局灾后恢复重建提升防灾减灾能力项目(国债）</w:t>
            </w:r>
          </w:p>
        </w:tc>
      </w:tr>
      <w:tr w14:paraId="0D0511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C06C7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预算规模及资金用途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2A2F6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预算数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38A16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618.00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08563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其中：财政    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CFDD8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618.00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A6B51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其他资金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0C540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 xml:space="preserve"> </w:t>
            </w:r>
          </w:p>
        </w:tc>
      </w:tr>
      <w:tr w14:paraId="3DEFA02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F1B0F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9F516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对深泽县气象局业务场所和气象监测设施进行修复改造，全面提升气象服务水平和灾害防御能力。</w:t>
            </w:r>
          </w:p>
        </w:tc>
      </w:tr>
      <w:tr w14:paraId="141B40C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FB188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资金支出计划（%）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1D66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3月底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E621E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6月底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0D98C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10月底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D7DA55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12月底</w:t>
            </w:r>
          </w:p>
        </w:tc>
      </w:tr>
      <w:tr w14:paraId="7D758A5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00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B794B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821C3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0.00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0DAEC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0.01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B3AEA9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0.01</w:t>
            </w:r>
          </w:p>
        </w:tc>
        <w:tc>
          <w:tcPr>
            <w:tcW w:w="422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33427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0.01</w:t>
            </w:r>
          </w:p>
        </w:tc>
      </w:tr>
      <w:tr w14:paraId="1160ED9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7834AFB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绩效目标</w:t>
            </w:r>
          </w:p>
        </w:tc>
        <w:tc>
          <w:tcPr>
            <w:tcW w:w="12684" w:type="dxa"/>
            <w:gridSpan w:val="6"/>
            <w:tcBorders>
              <w:top w:val="single" w:color="000000" w:sz="6" w:space="0"/>
              <w:left w:val="single" w:color="000000" w:sz="6" w:space="0"/>
              <w:bottom w:val="single" w:color="FFFFFF" w:sz="6" w:space="0"/>
              <w:right w:val="single" w:color="000000" w:sz="6" w:space="0"/>
            </w:tcBorders>
            <w:vAlign w:val="center"/>
          </w:tcPr>
          <w:p w14:paraId="69371E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1.对深泽县气象局业务场所和气象监测设施进行修复改造，全面提升气象服务水平和灾害防御能力。</w:t>
            </w:r>
          </w:p>
        </w:tc>
      </w:tr>
    </w:tbl>
    <w:p w14:paraId="5AC82DB1">
      <w:pPr>
        <w:widowControl w:val="0"/>
        <w:adjustRightInd/>
        <w:snapToGrid w:val="0"/>
        <w:spacing w:after="0" w:line="20" w:lineRule="exact"/>
        <w:jc w:val="both"/>
        <w:rPr>
          <w:rFonts w:ascii="宋体" w:hAnsi="宋体" w:eastAsia="宋体" w:cs="Times New Roman"/>
          <w:kern w:val="2"/>
          <w:sz w:val="21"/>
        </w:rPr>
      </w:pPr>
      <w:r>
        <w:rPr>
          <w:rFonts w:ascii="宋体" w:hAnsi="宋体" w:eastAsia="宋体" w:cs="Times New Roman"/>
          <w:kern w:val="2"/>
          <w:sz w:val="21"/>
        </w:rPr>
        <w:t xml:space="preserve"> 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4"/>
        <w:gridCol w:w="2114"/>
        <w:gridCol w:w="2114"/>
        <w:gridCol w:w="4228"/>
        <w:gridCol w:w="2114"/>
        <w:gridCol w:w="2114"/>
      </w:tblGrid>
      <w:tr w14:paraId="435586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B331C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一级指标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9A8CF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二级指标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C5D44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三级指标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27076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绩效指标描述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6377B3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7D38B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b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b/>
                <w:kern w:val="2"/>
                <w:sz w:val="21"/>
              </w:rPr>
              <w:t>指标值确定依据</w:t>
            </w:r>
          </w:p>
        </w:tc>
      </w:tr>
      <w:tr w14:paraId="0232F2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5116D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产出指标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220C760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数量指标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C8938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新建六要素自动气象站4套、激光测风雷达1座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35FD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新建六要素自动气象站4套、激光测风雷达1座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78987C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4套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7EF77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28E46A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B23A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2A198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质量指标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311B6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设备、设施验收通过率（%）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B642E3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设备、设施验收通过率（%）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FFB82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B256F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261CEE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C8D55C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CCA52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时效指标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49889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按时完成率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57DCA2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按时完成率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CE395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08BADD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36AAAD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3BEEF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5DD296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成本指标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B56E215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预算金额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1C51C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预算金额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63A3FC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618万元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2E902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59F22F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restar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E4C64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5C7C5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社会效益指标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85FF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改造4套自动气象站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75ED5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改造4套自动气象站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BAE5DE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100%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7A3DD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3ACE84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746FB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55118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可持续影响指标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7FF8BC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对深泽县气象局防灾能力提升的影响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B5CBA3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对深泽县气象局防灾能力提升的影响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3B18A2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增提升深泽县气象局防灾能力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E31A91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6904DF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F10A37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A8C79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经济效益指标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D164BD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按时完成率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708984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按时完成率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FFC7A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≥98%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B6B03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  <w:tr w14:paraId="5B3C6D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C6BE88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06F21F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服务对象满意度指标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8A3CE9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满意度</w:t>
            </w:r>
          </w:p>
        </w:tc>
        <w:tc>
          <w:tcPr>
            <w:tcW w:w="4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5DAD7E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政府对该项目的满意率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B735BA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≥95%</w:t>
            </w:r>
          </w:p>
        </w:tc>
        <w:tc>
          <w:tcPr>
            <w:tcW w:w="21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598F6B">
            <w:pPr>
              <w:widowControl w:val="0"/>
              <w:adjustRightInd/>
              <w:snapToGrid w:val="0"/>
              <w:spacing w:after="0" w:line="240" w:lineRule="exact"/>
              <w:jc w:val="both"/>
              <w:rPr>
                <w:rFonts w:ascii="宋体" w:hAnsi="宋体" w:eastAsia="宋体" w:cs="Times New Roman"/>
                <w:kern w:val="2"/>
                <w:sz w:val="21"/>
              </w:rPr>
            </w:pPr>
            <w:r>
              <w:rPr>
                <w:rFonts w:ascii="宋体" w:hAnsi="宋体" w:eastAsia="宋体" w:cs="Times New Roman"/>
                <w:kern w:val="2"/>
                <w:sz w:val="21"/>
              </w:rPr>
              <w:t>按文件完成</w:t>
            </w:r>
          </w:p>
        </w:tc>
      </w:tr>
    </w:tbl>
    <w:p w14:paraId="6DD9FBBB">
      <w:pPr>
        <w:snapToGrid w:val="0"/>
        <w:spacing w:line="240" w:lineRule="exact"/>
        <w:rPr>
          <w:rFonts w:ascii="宋体" w:hAnsi="宋体" w:eastAsia="宋体"/>
        </w:rPr>
        <w:sectPr>
          <w:pgSz w:w="16840" w:h="11900" w:orient="landscape"/>
          <w:pgMar w:top="1361" w:right="1020" w:bottom="1134" w:left="1020" w:header="720" w:footer="720" w:gutter="0"/>
          <w:cols w:space="720" w:num="1"/>
        </w:sectPr>
      </w:pPr>
    </w:p>
    <w:p w14:paraId="4E694B3E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政府预算</w:t>
      </w:r>
    </w:p>
    <w:p w14:paraId="303FA742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国有资本经营预算编制情况说明</w:t>
      </w:r>
    </w:p>
    <w:p w14:paraId="19F9DA5B">
      <w:pPr>
        <w:pageBreakBefore w:val="0"/>
        <w:kinsoku/>
        <w:wordWrap/>
        <w:topLinePunct w:val="0"/>
        <w:bidi w:val="0"/>
        <w:spacing w:after="0" w:line="60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sz w:val="44"/>
          <w:szCs w:val="32"/>
        </w:rPr>
      </w:pPr>
    </w:p>
    <w:p w14:paraId="46F1DE2C">
      <w:pPr>
        <w:pageBreakBefore w:val="0"/>
        <w:kinsoku/>
        <w:wordWrap/>
        <w:topLinePunct w:val="0"/>
        <w:bidi w:val="0"/>
        <w:spacing w:after="0" w:line="600" w:lineRule="exact"/>
        <w:ind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《中华人民共和国预算法》</w:t>
      </w:r>
      <w:r>
        <w:rPr>
          <w:rFonts w:hint="eastAsia" w:ascii="仿宋" w:hAnsi="仿宋" w:eastAsia="仿宋_GB2312" w:cs="仿宋"/>
          <w:sz w:val="32"/>
          <w:szCs w:val="32"/>
        </w:rPr>
        <w:t>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深化预算管理制度改革</w:t>
      </w:r>
      <w:r>
        <w:rPr>
          <w:rFonts w:hint="eastAsia" w:ascii="仿宋" w:hAnsi="仿宋" w:eastAsia="仿宋_GB2312" w:cs="仿宋"/>
          <w:sz w:val="32"/>
          <w:szCs w:val="32"/>
        </w:rPr>
        <w:t>等相关要求，现将我县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</w:t>
      </w:r>
      <w:r>
        <w:rPr>
          <w:rFonts w:hint="eastAsia" w:ascii="仿宋" w:hAnsi="仿宋" w:eastAsia="仿宋_GB2312" w:cs="仿宋"/>
          <w:sz w:val="32"/>
          <w:szCs w:val="32"/>
        </w:rPr>
        <w:t>政府预算中国有资本经营预算编制情况进行如下说明：</w:t>
      </w:r>
    </w:p>
    <w:p w14:paraId="799D282B">
      <w:pPr>
        <w:pageBreakBefore w:val="0"/>
        <w:kinsoku/>
        <w:wordWrap/>
        <w:topLinePunct w:val="0"/>
        <w:bidi w:val="0"/>
        <w:spacing w:after="0" w:line="600" w:lineRule="exact"/>
        <w:ind w:right="124" w:firstLine="640" w:firstLineChars="200"/>
        <w:jc w:val="both"/>
        <w:rPr>
          <w:rFonts w:ascii="仿宋" w:hAnsi="仿宋" w:eastAsia="仿宋_GB2312" w:cs="仿宋"/>
          <w:sz w:val="32"/>
          <w:szCs w:val="32"/>
        </w:rPr>
      </w:pPr>
      <w:r>
        <w:rPr>
          <w:rFonts w:hint="eastAsia" w:ascii="仿宋" w:hAnsi="仿宋" w:eastAsia="仿宋_GB2312" w:cs="仿宋"/>
          <w:sz w:val="32"/>
          <w:szCs w:val="32"/>
        </w:rPr>
        <w:t>按照上级有关规定要求，国有资本经营预算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实行独立编制，</w:t>
      </w:r>
      <w:r>
        <w:rPr>
          <w:rFonts w:hint="eastAsia" w:ascii="仿宋" w:hAnsi="仿宋" w:eastAsia="仿宋_GB2312" w:cs="仿宋"/>
          <w:sz w:val="32"/>
          <w:szCs w:val="32"/>
        </w:rPr>
        <w:t>根据我县实际情况，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因</w:t>
      </w:r>
      <w:r>
        <w:rPr>
          <w:rFonts w:hint="eastAsia" w:ascii="仿宋" w:hAnsi="仿宋" w:eastAsia="仿宋_GB2312" w:cs="仿宋"/>
          <w:sz w:val="32"/>
          <w:szCs w:val="32"/>
        </w:rPr>
        <w:t>我县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国有企业数量较少</w:t>
      </w:r>
      <w:r>
        <w:rPr>
          <w:rFonts w:hint="eastAsia" w:ascii="仿宋" w:hAnsi="仿宋" w:eastAsia="仿宋_GB2312" w:cs="仿宋"/>
          <w:sz w:val="32"/>
          <w:szCs w:val="32"/>
        </w:rPr>
        <w:t>，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_GB2312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szCs w:val="32"/>
          <w:lang w:eastAsia="zh-CN"/>
        </w:rPr>
        <w:t>年没有</w:t>
      </w:r>
      <w:r>
        <w:rPr>
          <w:rFonts w:hint="eastAsia" w:ascii="仿宋" w:hAnsi="仿宋" w:eastAsia="仿宋_GB2312" w:cs="仿宋"/>
          <w:sz w:val="32"/>
          <w:szCs w:val="32"/>
        </w:rPr>
        <w:t>编制国有资本经营预算。</w:t>
      </w:r>
    </w:p>
    <w:p w14:paraId="2AC98CAE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仿宋" w:hAnsi="仿宋" w:eastAsia="仿宋_GB2312" w:cs="仿宋"/>
          <w:sz w:val="32"/>
          <w:szCs w:val="32"/>
        </w:rPr>
      </w:pPr>
    </w:p>
    <w:p w14:paraId="4146F00A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7363DBD2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6ABA146F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66D0F013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78311513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6425713D">
      <w:pPr>
        <w:pageBreakBefore w:val="0"/>
        <w:kinsoku/>
        <w:wordWrap/>
        <w:topLinePunct w:val="0"/>
        <w:bidi w:val="0"/>
        <w:spacing w:line="360" w:lineRule="auto"/>
        <w:jc w:val="both"/>
        <w:rPr>
          <w:rFonts w:ascii="宋体" w:hAnsi="宋体"/>
          <w:sz w:val="44"/>
          <w:szCs w:val="44"/>
        </w:rPr>
      </w:pPr>
    </w:p>
    <w:p w14:paraId="4B0B9076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宋体" w:hAnsi="宋体" w:eastAsia="宋体" w:cs="宋体"/>
          <w:b/>
          <w:bCs/>
          <w:sz w:val="44"/>
          <w:szCs w:val="44"/>
        </w:rPr>
      </w:pPr>
    </w:p>
    <w:p w14:paraId="3DEF3DF8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 w14:paraId="08E1956E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深泽县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年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政府预算</w:t>
      </w:r>
    </w:p>
    <w:p w14:paraId="67435742">
      <w:pPr>
        <w:pageBreakBefore w:val="0"/>
        <w:kinsoku/>
        <w:wordWrap/>
        <w:topLinePunct w:val="0"/>
        <w:bidi w:val="0"/>
        <w:spacing w:after="0" w:line="60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其他重要事项的解释说明</w:t>
      </w:r>
    </w:p>
    <w:p w14:paraId="70560823">
      <w:pPr>
        <w:pageBreakBefore w:val="0"/>
        <w:kinsoku/>
        <w:wordWrap/>
        <w:topLinePunct w:val="0"/>
        <w:bidi w:val="0"/>
        <w:spacing w:after="0" w:line="600" w:lineRule="exact"/>
        <w:jc w:val="both"/>
        <w:rPr>
          <w:rFonts w:ascii="宋体" w:hAnsi="宋体"/>
          <w:sz w:val="44"/>
          <w:szCs w:val="44"/>
        </w:rPr>
      </w:pPr>
    </w:p>
    <w:p w14:paraId="39B25C06">
      <w:pPr>
        <w:pageBreakBefore w:val="0"/>
        <w:tabs>
          <w:tab w:val="left" w:pos="1260"/>
          <w:tab w:val="left" w:pos="7020"/>
        </w:tabs>
        <w:kinsoku/>
        <w:wordWrap/>
        <w:topLinePunct w:val="0"/>
        <w:bidi w:val="0"/>
        <w:spacing w:before="0" w:beforeLines="0" w:after="0" w:afterLines="0" w:line="580" w:lineRule="exact"/>
        <w:ind w:left="0" w:leftChars="0" w:right="0" w:rightChars="0" w:firstLine="640" w:firstLineChars="200"/>
        <w:jc w:val="both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一、预算编制的指导思想</w:t>
      </w:r>
    </w:p>
    <w:p w14:paraId="495F8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afterLines="0" w:line="580" w:lineRule="exact"/>
        <w:ind w:left="0" w:leftChars="0" w:right="0" w:rightChars="0" w:firstLine="643" w:firstLineChars="200"/>
        <w:jc w:val="both"/>
        <w:textAlignment w:val="auto"/>
        <w:rPr>
          <w:rFonts w:hint="default" w:ascii="仿宋" w:hAnsi="仿宋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000000"/>
          <w:sz w:val="32"/>
          <w:szCs w:val="32"/>
        </w:rPr>
        <w:t>财政预算编制的指导思想是：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深入贯彻党的二十大和二十届二中全会精神，全面贯彻习近平总书记视察河北、视察石家庄重要讲话和重要指示精神，以及中央经济工作会议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全国财政工作会议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精神，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省委十届五次全会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省委经济工作会议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和全省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财政工作会议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精神，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市委十一届六次全会、市委经济工作会议和县委十二届五次全会部署要求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坚持稳中求进工作总基调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完整、准确、全面贯彻新发展理念，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聚焦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经济建设这一中心工作和高质量发展这一首要任务，更好统筹发展和安全，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适度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加力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、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提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质增效落实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积极的财政政策，全力保障重大决策部署落地见效。牢固树立以人民为中心的思想，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深入推进财政体制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改革，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深化预算管理制度改革，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严格落实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党政机关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过紧日子要求，加强财政资源统筹，优化财政支出结构，兜牢“三保”底线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，加强政府债务管理，严肃财经纪律，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强化财政资金管理，防范化解财政风险，创新资金投入方式，提高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财政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资金使用</w:t>
      </w:r>
      <w:r>
        <w:rPr>
          <w:rFonts w:hint="eastAsia" w:ascii="仿宋" w:hAnsi="仿宋" w:eastAsia="仿宋_GB2312" w:cs="仿宋"/>
          <w:color w:val="auto"/>
          <w:sz w:val="32"/>
          <w:szCs w:val="32"/>
          <w:lang w:eastAsia="zh-CN"/>
        </w:rPr>
        <w:t>绩效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。锚定经济总量过百亿的奋斗目标，踔厉奋发，勇毅前行，为建设“小而精、小而美”的</w:t>
      </w:r>
      <w:r>
        <w:rPr>
          <w:rFonts w:hint="eastAsia" w:ascii="仿宋" w:hAnsi="仿宋" w:eastAsia="仿宋_GB2312" w:cs="仿宋"/>
          <w:color w:val="auto"/>
          <w:sz w:val="32"/>
          <w:szCs w:val="32"/>
          <w:lang w:val="en-US" w:eastAsia="zh-CN"/>
        </w:rPr>
        <w:t>魅力</w:t>
      </w:r>
      <w:r>
        <w:rPr>
          <w:rFonts w:hint="eastAsia" w:ascii="仿宋" w:hAnsi="仿宋" w:eastAsia="仿宋_GB2312" w:cs="仿宋"/>
          <w:color w:val="auto"/>
          <w:sz w:val="32"/>
          <w:szCs w:val="32"/>
        </w:rPr>
        <w:t>深泽提供财政支撑</w:t>
      </w:r>
      <w:r>
        <w:rPr>
          <w:rFonts w:hint="eastAsia" w:ascii="楷体" w:hAnsi="楷体" w:eastAsia="楷体_GB2312" w:cs="楷体"/>
          <w:color w:val="auto"/>
          <w:sz w:val="32"/>
          <w:szCs w:val="32"/>
        </w:rPr>
        <w:t>。</w:t>
      </w:r>
    </w:p>
    <w:p w14:paraId="0013318C">
      <w:pPr>
        <w:keepNext w:val="0"/>
        <w:keepLines w:val="0"/>
        <w:pageBreakBefore w:val="0"/>
        <w:widowControl/>
        <w:numPr>
          <w:ilvl w:val="0"/>
          <w:numId w:val="0"/>
        </w:numPr>
        <w:pBdr>
          <w:bottom w:val="none" w:color="FFFFFF" w:sz="0" w:space="29"/>
        </w:pBdr>
        <w:kinsoku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0" w:beforeLines="0" w:after="0" w:afterLines="0" w:line="580" w:lineRule="exact"/>
        <w:ind w:left="0" w:leftChars="0" w:right="0" w:rightChars="0" w:firstLine="640" w:firstLineChars="200"/>
        <w:contextualSpacing/>
        <w:jc w:val="both"/>
        <w:textAlignment w:val="baseline"/>
        <w:rPr>
          <w:rFonts w:hint="eastAsia" w:ascii="黑体" w:hAnsi="黑体" w:eastAsia="黑体" w:cs="黑体"/>
          <w:sz w:val="32"/>
          <w:szCs w:val="22"/>
          <w:highlight w:val="none"/>
        </w:rPr>
      </w:pPr>
      <w:r>
        <w:rPr>
          <w:rFonts w:hint="eastAsia" w:ascii="黑体" w:hAnsi="黑体" w:eastAsia="黑体" w:cs="黑体"/>
          <w:kern w:val="2"/>
          <w:sz w:val="32"/>
          <w:szCs w:val="22"/>
          <w:lang w:val="en-US" w:eastAsia="zh-CN" w:bidi="ar-SA"/>
        </w:rPr>
        <w:t>二、</w:t>
      </w:r>
      <w:r>
        <w:rPr>
          <w:rFonts w:hint="eastAsia" w:ascii="黑体" w:hAnsi="黑体" w:eastAsia="黑体" w:cs="黑体"/>
          <w:sz w:val="32"/>
          <w:szCs w:val="22"/>
          <w:highlight w:val="none"/>
        </w:rPr>
        <w:t>预算编制遵循的基本原则</w:t>
      </w:r>
    </w:p>
    <w:p w14:paraId="01F31D4E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_GB2312" w:cs="仿宋_GB2312"/>
          <w:color w:val="000000"/>
          <w:sz w:val="32"/>
          <w:szCs w:val="32"/>
        </w:rPr>
      </w:pPr>
      <w:r>
        <w:rPr>
          <w:rFonts w:hint="eastAsia" w:ascii="仿宋" w:hAnsi="仿宋" w:eastAsia="仿宋_GB2312" w:cs="仿宋_GB2312"/>
          <w:color w:val="000000"/>
          <w:sz w:val="32"/>
          <w:szCs w:val="32"/>
        </w:rPr>
        <w:t>基于以上指导思想，今年的预算编制遵循了“</w:t>
      </w:r>
      <w:r>
        <w:rPr>
          <w:rFonts w:hint="eastAsia" w:ascii="仿宋" w:hAnsi="仿宋" w:eastAsia="仿宋_GB2312" w:cs="仿宋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</w:rPr>
        <w:t>政治引领、突出重点</w:t>
      </w:r>
      <w:r>
        <w:rPr>
          <w:rFonts w:hint="eastAsia" w:ascii="仿宋" w:hAnsi="仿宋" w:eastAsia="仿宋_GB2312" w:cs="仿宋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eastAsia="zh-CN"/>
        </w:rPr>
        <w:t>、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依法理财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、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强化统筹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讲求绩效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、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eastAsia="zh-CN"/>
        </w:rPr>
        <w:t>优化结</w:t>
      </w:r>
      <w:r>
        <w:rPr>
          <w:rFonts w:hint="eastAsia" w:ascii="仿宋" w:hAnsi="仿宋" w:eastAsia="仿宋_GB2312" w:cs="仿宋_GB2312"/>
          <w:color w:val="000000"/>
          <w:sz w:val="32"/>
          <w:szCs w:val="32"/>
          <w:lang w:val="en-US" w:eastAsia="zh-CN"/>
        </w:rPr>
        <w:t>构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" w:hAnsi="仿宋" w:eastAsia="仿宋_GB2312" w:cs="仿宋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color="auto" w:fill="FFFFFF"/>
        </w:rPr>
        <w:t>厉行节约、防控风险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”的原则。</w:t>
      </w:r>
    </w:p>
    <w:p w14:paraId="414AEEBE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一是依法理财。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全面落实《预算法》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《预算法实施条例》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等法律法规以及中央和省、市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、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  <w:t>县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各项政策要求，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规范理财行为。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继续完善政府预算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管理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体系，改进预算管理与控制方式，加强财政收支管理，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严格执行支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出标准和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范围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，硬化预算刚性约束，加强资金监督管理，着力推进预算公开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。</w:t>
      </w:r>
    </w:p>
    <w:p w14:paraId="1054230C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二是强化统筹。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加大政府预算统筹力度，</w:t>
      </w:r>
      <w:r>
        <w:rPr>
          <w:rFonts w:hint="eastAsia" w:ascii="仿宋" w:hAnsi="仿宋" w:eastAsia="仿宋_GB2312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auto"/>
          <w:lang w:val="en-US" w:eastAsia="zh-CN" w:bidi="ar"/>
        </w:rPr>
        <w:t>将本级收入、上级补助、调入资金、政府债务收入，以及清理盘活的存量资金资产等全部纳入政府预算范围。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加强部门预算收入统筹安排，</w:t>
      </w:r>
      <w:r>
        <w:rPr>
          <w:rFonts w:hint="eastAsia" w:ascii="仿宋" w:hAnsi="仿宋" w:eastAsia="仿宋_GB2312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auto"/>
          <w:lang w:val="en-US" w:eastAsia="zh-CN" w:bidi="ar"/>
        </w:rPr>
        <w:t>各部门和单位要依法依规将取得的各类预算拨款收入、预算拨款结转和其他收入全部纳入部门或单位预算，未纳入预算的收入不得安排支出。加强部门内部统筹规划，避免项目交叉、重复。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强化存量资源统筹使用，盘活财政存量资金，强化资产配置与资产使用、处置的统筹管理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。</w:t>
      </w:r>
    </w:p>
    <w:p w14:paraId="37F53997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三是讲求绩效。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牢固树立绩效意识，推进全面实施预算绩效管理，加快构建全方位、全过程、全覆盖的预算绩效管理体系。</w:t>
      </w:r>
      <w:r>
        <w:rPr>
          <w:rFonts w:hint="eastAsia" w:ascii="仿宋" w:hAnsi="仿宋" w:eastAsia="仿宋_GB2312" w:cs="仿宋"/>
          <w:sz w:val="32"/>
          <w:szCs w:val="32"/>
        </w:rPr>
        <w:t>落实部门和单位预算绩效管理主体责任，科学设定部门整体绩效目标、专项资金绩效目标和预算项目绩效目标，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实施新增重大政策和项目事前绩效评估，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评估结果报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  <w:t>县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政府作为决策依据，并</w:t>
      </w:r>
      <w:r>
        <w:rPr>
          <w:rFonts w:hint="eastAsia" w:ascii="仿宋" w:hAnsi="仿宋" w:eastAsia="仿宋_GB2312" w:cs="仿宋"/>
          <w:sz w:val="32"/>
          <w:szCs w:val="32"/>
        </w:rPr>
        <w:t>作为申请预算的必要条件。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加强绩效评价结果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与预算安排的有机衔接，坚决</w:t>
      </w:r>
      <w:r>
        <w:rPr>
          <w:rFonts w:hint="eastAsia" w:ascii="仿宋" w:hAnsi="仿宋" w:eastAsia="仿宋_GB2312" w:cs="仿宋"/>
          <w:sz w:val="32"/>
          <w:szCs w:val="32"/>
        </w:rPr>
        <w:t>削减无效、低效支出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  <w:t>。</w:t>
      </w:r>
    </w:p>
    <w:p w14:paraId="5A284EC3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四是</w:t>
      </w: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eastAsia="zh-CN"/>
        </w:rPr>
        <w:t>优化结</w:t>
      </w: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构。</w:t>
      </w:r>
      <w:r>
        <w:rPr>
          <w:rFonts w:hint="eastAsia" w:ascii="仿宋" w:hAnsi="仿宋" w:eastAsia="仿宋_GB2312" w:cs="仿宋"/>
          <w:i w:val="0"/>
          <w:caps w:val="0"/>
          <w:color w:val="000000"/>
          <w:spacing w:val="0"/>
          <w:kern w:val="0"/>
          <w:sz w:val="32"/>
          <w:szCs w:val="32"/>
          <w:shd w:val="clear" w:color="auto" w:fill="auto"/>
          <w:lang w:val="en-US" w:eastAsia="zh-CN" w:bidi="ar"/>
        </w:rPr>
        <w:t>预算安排要统筹兼顾、突出重点，区分支出事项的轻重缓急，合理确定保障重点和保障顺序。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紧紧围绕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  <w:t>县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委、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val="en-US" w:eastAsia="zh-CN"/>
        </w:rPr>
        <w:t>县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政府决策部署，进一步优化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资金投向，改进投入方式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全面提升财政资源配置效率。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做好“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三保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”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工作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着力保障城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市更新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、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推动现代化产业发展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、乡村振兴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、生态环境治理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等重点工作开展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。</w:t>
      </w:r>
    </w:p>
    <w:p w14:paraId="1EB10975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五是</w:t>
      </w: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</w:rPr>
        <w:t>厉行</w:t>
      </w:r>
      <w:r>
        <w:rPr>
          <w:rFonts w:ascii="楷体_GB2312" w:hAnsi="楷体_GB2312" w:eastAsia="楷体_GB2312"/>
          <w:b/>
          <w:bCs/>
          <w:kern w:val="0"/>
          <w:sz w:val="32"/>
          <w:szCs w:val="32"/>
          <w:shd w:val="clear" w:color="auto" w:fill="auto"/>
        </w:rPr>
        <w:t>节约。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坚持艰苦奋斗、勤俭节约，毫不动摇坚持政府过紧日子，调整优化支出结构，严控非重点、非刚性的一般性支出，把有限的资金用到“刀刃”上，更好保障重大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决策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部署落实。坚持尽力而为、量力而行，支出政策、资金安排与经济发展相协调，与财力状况相匹配，不脱离实际搞过高承诺，确保财政可持续。严格规范政府购买服务预算管理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</w:rPr>
        <w:t>严控“三公”经费及会议费、培训费，</w:t>
      </w:r>
      <w:r>
        <w:rPr>
          <w:rFonts w:hint="eastAsia" w:ascii="仿宋" w:hAnsi="仿宋" w:eastAsia="仿宋_GB2312" w:cs="仿宋"/>
          <w:kern w:val="0"/>
          <w:sz w:val="32"/>
          <w:szCs w:val="32"/>
          <w:shd w:val="clear" w:color="auto" w:fill="auto"/>
          <w:lang w:eastAsia="zh-CN"/>
        </w:rPr>
        <w:t>做到只减不增</w:t>
      </w:r>
      <w:r>
        <w:rPr>
          <w:rFonts w:ascii="仿宋" w:hAnsi="仿宋" w:eastAsia="仿宋_GB2312" w:cs="仿宋"/>
          <w:kern w:val="0"/>
          <w:sz w:val="32"/>
          <w:szCs w:val="32"/>
          <w:shd w:val="clear" w:color="auto" w:fill="auto"/>
        </w:rPr>
        <w:t>。</w:t>
      </w:r>
    </w:p>
    <w:p w14:paraId="105BE5F8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3" w:firstLineChars="200"/>
        <w:jc w:val="both"/>
        <w:textAlignment w:val="auto"/>
        <w:rPr>
          <w:rFonts w:hint="eastAsia" w:ascii="仿宋" w:hAnsi="仿宋" w:eastAsia="仿宋_GB2312"/>
          <w:color w:val="000000"/>
          <w:sz w:val="32"/>
          <w:szCs w:val="32"/>
          <w:lang w:val="zh-CN"/>
        </w:rPr>
      </w:pP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val="en-US" w:eastAsia="zh-CN"/>
        </w:rPr>
        <w:t>六是</w:t>
      </w: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</w:rPr>
        <w:t>防范风险</w:t>
      </w:r>
      <w:r>
        <w:rPr>
          <w:rFonts w:hint="eastAsia" w:ascii="楷体" w:hAnsi="楷体" w:eastAsia="楷体_GB2312" w:cs="楷体"/>
          <w:b/>
          <w:bCs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_GB2312" w:cs="仿宋_GB2312"/>
          <w:color w:val="000000"/>
          <w:sz w:val="32"/>
          <w:szCs w:val="32"/>
        </w:rPr>
        <w:t>进</w:t>
      </w:r>
      <w:r>
        <w:rPr>
          <w:rFonts w:hint="eastAsia" w:ascii="仿宋" w:hAnsi="仿宋" w:eastAsia="仿宋_GB2312"/>
          <w:color w:val="000000"/>
          <w:sz w:val="32"/>
          <w:szCs w:val="32"/>
          <w:lang w:val="zh-CN"/>
        </w:rPr>
        <w:t>一步加强政府债务管理，将政府债务收支全部纳入预算管理，依法依规使用地方债券资金，认真落实债务风险化解年度任务，坚决遏制政府隐性债务增量，确保不发生区域性系统性风险。</w:t>
      </w:r>
    </w:p>
    <w:p w14:paraId="77DF095C"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_GB2312" w:cs="仿宋_GB2312"/>
          <w:sz w:val="32"/>
          <w:szCs w:val="32"/>
          <w:highlight w:val="none"/>
        </w:rPr>
      </w:pPr>
    </w:p>
    <w:p w14:paraId="6BB7DC57">
      <w:pPr>
        <w:pageBreakBefore w:val="0"/>
        <w:kinsoku/>
        <w:wordWrap/>
        <w:topLinePunct w:val="0"/>
        <w:bidi w:val="0"/>
        <w:spacing w:after="0" w:line="560" w:lineRule="exact"/>
        <w:ind w:firstLine="640" w:firstLineChars="200"/>
        <w:jc w:val="both"/>
        <w:rPr>
          <w:rFonts w:hAnsi="宋体" w:eastAsia="仿宋_GB2312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644" w:bottom="1440" w:left="1644" w:header="708" w:footer="709" w:gutter="0"/>
      <w:cols w:space="0" w:num="1"/>
      <w:rtlGutter w:val="0"/>
      <w:docGrid w:type="lines" w:linePitch="37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7F37C1F-9099-4BF8-8006-6EC2FD90653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678FB6D5-9D8A-4D9B-AE27-48DDFBF704ED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4D29995E-3C08-4939-BFDD-9E71A7391B6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CDA01168-7412-4389-8541-779ECA914FC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135CAFC0-694C-4B42-A5C3-39039B0D92B8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758BEB8D-56B7-4EA0-85A8-8FCAACB52D50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666A454D-C684-4429-AAF5-C81DE3D550AE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8" w:fontKey="{55FDE947-00DB-45A3-B4C8-84790B4EBF60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9" w:fontKey="{8D818206-1499-4B4E-9D14-8E165F03802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8A80BC">
    <w:pPr>
      <w:widowControl w:val="0"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3F4F25">
    <w:pPr>
      <w:widowControl w:val="0"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E9BA7C">
    <w:pPr>
      <w:widowControl w:val="0"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AE82FD">
    <w:pPr>
      <w:widowControl w:val="0"/>
      <w:pBdr>
        <w:bottom w:val="none" w:color="auto" w:sz="0" w:space="0"/>
      </w:pBdr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FD6262"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976EFE"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NotTrackMoves/>
  <w:documentProtection w:enforcement="0"/>
  <w:defaultTabStop w:val="720"/>
  <w:drawingGridVerticalSpacing w:val="187"/>
  <w:displayHorizontalDrawingGridEvery w:val="1"/>
  <w:displayVerticalDrawingGridEvery w:val="1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compat>
    <w:doNotExpandShiftReturn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wZmQzYTM1ZGY3YTdlOThkZGE0YTkxZDA5ZGFhN2QifQ=="/>
  </w:docVars>
  <w:rsids>
    <w:rsidRoot w:val="009A391C"/>
    <w:rsid w:val="000171F5"/>
    <w:rsid w:val="000548A6"/>
    <w:rsid w:val="000548DB"/>
    <w:rsid w:val="00063451"/>
    <w:rsid w:val="00094A86"/>
    <w:rsid w:val="001E6702"/>
    <w:rsid w:val="001F1AE3"/>
    <w:rsid w:val="002269C8"/>
    <w:rsid w:val="002A1E80"/>
    <w:rsid w:val="002D3616"/>
    <w:rsid w:val="002F506B"/>
    <w:rsid w:val="00323B43"/>
    <w:rsid w:val="00372D30"/>
    <w:rsid w:val="00382810"/>
    <w:rsid w:val="003D37D8"/>
    <w:rsid w:val="00405E1A"/>
    <w:rsid w:val="004358AB"/>
    <w:rsid w:val="0044678E"/>
    <w:rsid w:val="004A3F34"/>
    <w:rsid w:val="004B53F1"/>
    <w:rsid w:val="00543284"/>
    <w:rsid w:val="0055534B"/>
    <w:rsid w:val="005A7129"/>
    <w:rsid w:val="005D79AF"/>
    <w:rsid w:val="005F4CFF"/>
    <w:rsid w:val="00634763"/>
    <w:rsid w:val="00662206"/>
    <w:rsid w:val="006C1DDC"/>
    <w:rsid w:val="00715462"/>
    <w:rsid w:val="00730A30"/>
    <w:rsid w:val="00767904"/>
    <w:rsid w:val="00863055"/>
    <w:rsid w:val="00880EA5"/>
    <w:rsid w:val="008B7726"/>
    <w:rsid w:val="008C10CD"/>
    <w:rsid w:val="008F5A88"/>
    <w:rsid w:val="0093002B"/>
    <w:rsid w:val="009426BF"/>
    <w:rsid w:val="00962331"/>
    <w:rsid w:val="00964BC7"/>
    <w:rsid w:val="00977282"/>
    <w:rsid w:val="00996724"/>
    <w:rsid w:val="009A391C"/>
    <w:rsid w:val="00A74DBB"/>
    <w:rsid w:val="00AA6675"/>
    <w:rsid w:val="00AE43B3"/>
    <w:rsid w:val="00B037F8"/>
    <w:rsid w:val="00B43C08"/>
    <w:rsid w:val="00B6403C"/>
    <w:rsid w:val="00B829B6"/>
    <w:rsid w:val="00B976F3"/>
    <w:rsid w:val="00C33AE7"/>
    <w:rsid w:val="00C34BAB"/>
    <w:rsid w:val="00C66629"/>
    <w:rsid w:val="00C95D97"/>
    <w:rsid w:val="00D27760"/>
    <w:rsid w:val="00DA6930"/>
    <w:rsid w:val="00DC5C64"/>
    <w:rsid w:val="00DD20DF"/>
    <w:rsid w:val="00DD58BF"/>
    <w:rsid w:val="00DD5F8F"/>
    <w:rsid w:val="00DF5459"/>
    <w:rsid w:val="00E40385"/>
    <w:rsid w:val="00E63F95"/>
    <w:rsid w:val="00F04DBD"/>
    <w:rsid w:val="00F31A33"/>
    <w:rsid w:val="00F410C0"/>
    <w:rsid w:val="00FB6CB6"/>
    <w:rsid w:val="039842CF"/>
    <w:rsid w:val="040C25C7"/>
    <w:rsid w:val="042B2EE8"/>
    <w:rsid w:val="04C61DA7"/>
    <w:rsid w:val="04EC236F"/>
    <w:rsid w:val="060F36D8"/>
    <w:rsid w:val="062B294F"/>
    <w:rsid w:val="067D5433"/>
    <w:rsid w:val="070C237A"/>
    <w:rsid w:val="08CC00CB"/>
    <w:rsid w:val="08D12404"/>
    <w:rsid w:val="0A127E1A"/>
    <w:rsid w:val="0B242608"/>
    <w:rsid w:val="0BA52F2C"/>
    <w:rsid w:val="0EFD592E"/>
    <w:rsid w:val="0F51613A"/>
    <w:rsid w:val="108F5386"/>
    <w:rsid w:val="109776BD"/>
    <w:rsid w:val="10B347B2"/>
    <w:rsid w:val="11170E22"/>
    <w:rsid w:val="11800151"/>
    <w:rsid w:val="118F76A2"/>
    <w:rsid w:val="130B7A53"/>
    <w:rsid w:val="13841894"/>
    <w:rsid w:val="13955CAC"/>
    <w:rsid w:val="14341132"/>
    <w:rsid w:val="166E2DED"/>
    <w:rsid w:val="17AF4F9A"/>
    <w:rsid w:val="186602E9"/>
    <w:rsid w:val="194F2447"/>
    <w:rsid w:val="1BD56B39"/>
    <w:rsid w:val="1C1217DE"/>
    <w:rsid w:val="1CD32B23"/>
    <w:rsid w:val="1DA927AB"/>
    <w:rsid w:val="1E256DF6"/>
    <w:rsid w:val="1EC44227"/>
    <w:rsid w:val="1ED722D7"/>
    <w:rsid w:val="2095136E"/>
    <w:rsid w:val="20F433C6"/>
    <w:rsid w:val="21101180"/>
    <w:rsid w:val="21530035"/>
    <w:rsid w:val="21651D2D"/>
    <w:rsid w:val="22534D55"/>
    <w:rsid w:val="23E14929"/>
    <w:rsid w:val="23F66812"/>
    <w:rsid w:val="25FD6FAD"/>
    <w:rsid w:val="2618131D"/>
    <w:rsid w:val="2653082F"/>
    <w:rsid w:val="26B23FD1"/>
    <w:rsid w:val="274A3B30"/>
    <w:rsid w:val="277065C6"/>
    <w:rsid w:val="2A050A46"/>
    <w:rsid w:val="2D005781"/>
    <w:rsid w:val="2D443278"/>
    <w:rsid w:val="2D9F663F"/>
    <w:rsid w:val="2DFF789D"/>
    <w:rsid w:val="2FCC3AD7"/>
    <w:rsid w:val="30044688"/>
    <w:rsid w:val="3097285F"/>
    <w:rsid w:val="315508B5"/>
    <w:rsid w:val="335B62D7"/>
    <w:rsid w:val="35327830"/>
    <w:rsid w:val="35333473"/>
    <w:rsid w:val="36034B57"/>
    <w:rsid w:val="366B126F"/>
    <w:rsid w:val="3A1D2879"/>
    <w:rsid w:val="3A2852FA"/>
    <w:rsid w:val="3A402C10"/>
    <w:rsid w:val="3D8D1697"/>
    <w:rsid w:val="3DA04374"/>
    <w:rsid w:val="3DCF18A8"/>
    <w:rsid w:val="3F1E7077"/>
    <w:rsid w:val="40D20119"/>
    <w:rsid w:val="41CB614C"/>
    <w:rsid w:val="41F208CD"/>
    <w:rsid w:val="4247089E"/>
    <w:rsid w:val="44A042C2"/>
    <w:rsid w:val="44FE7A2D"/>
    <w:rsid w:val="4537679D"/>
    <w:rsid w:val="465277CB"/>
    <w:rsid w:val="472E3BD0"/>
    <w:rsid w:val="47BB4154"/>
    <w:rsid w:val="4875631E"/>
    <w:rsid w:val="4A7D2F9B"/>
    <w:rsid w:val="4B4A2051"/>
    <w:rsid w:val="4BCE1284"/>
    <w:rsid w:val="4C34501F"/>
    <w:rsid w:val="4D29428B"/>
    <w:rsid w:val="4D5D53E6"/>
    <w:rsid w:val="4E58365D"/>
    <w:rsid w:val="4EFC142B"/>
    <w:rsid w:val="4FD56EAA"/>
    <w:rsid w:val="51B93CBA"/>
    <w:rsid w:val="51BD6D98"/>
    <w:rsid w:val="52610D45"/>
    <w:rsid w:val="52DF4809"/>
    <w:rsid w:val="534806C7"/>
    <w:rsid w:val="55583C48"/>
    <w:rsid w:val="56773FDF"/>
    <w:rsid w:val="570509CE"/>
    <w:rsid w:val="5745780D"/>
    <w:rsid w:val="57D2644F"/>
    <w:rsid w:val="59E907C2"/>
    <w:rsid w:val="59F54529"/>
    <w:rsid w:val="5C336E43"/>
    <w:rsid w:val="5CE53377"/>
    <w:rsid w:val="5F773088"/>
    <w:rsid w:val="5FEF6186"/>
    <w:rsid w:val="60077264"/>
    <w:rsid w:val="603F021A"/>
    <w:rsid w:val="60F12D89"/>
    <w:rsid w:val="61546FEB"/>
    <w:rsid w:val="62AF39BF"/>
    <w:rsid w:val="647153D0"/>
    <w:rsid w:val="64A4682B"/>
    <w:rsid w:val="650641E6"/>
    <w:rsid w:val="666F3238"/>
    <w:rsid w:val="66BE19F2"/>
    <w:rsid w:val="66C9699A"/>
    <w:rsid w:val="66D445C6"/>
    <w:rsid w:val="67162230"/>
    <w:rsid w:val="69EE0E99"/>
    <w:rsid w:val="6A1D348A"/>
    <w:rsid w:val="6A39307A"/>
    <w:rsid w:val="6AB029CA"/>
    <w:rsid w:val="6C273CE2"/>
    <w:rsid w:val="6D3A7EE2"/>
    <w:rsid w:val="6DAA78D1"/>
    <w:rsid w:val="6E264F3A"/>
    <w:rsid w:val="6EA75309"/>
    <w:rsid w:val="6F8D5CA0"/>
    <w:rsid w:val="6FD45005"/>
    <w:rsid w:val="6FF838AD"/>
    <w:rsid w:val="70E00AC1"/>
    <w:rsid w:val="716158F4"/>
    <w:rsid w:val="72365527"/>
    <w:rsid w:val="729A4B36"/>
    <w:rsid w:val="73B67E30"/>
    <w:rsid w:val="73C13F94"/>
    <w:rsid w:val="75410DEE"/>
    <w:rsid w:val="759B5EEE"/>
    <w:rsid w:val="766F2EFC"/>
    <w:rsid w:val="77D15215"/>
    <w:rsid w:val="78AE679B"/>
    <w:rsid w:val="78BB0708"/>
    <w:rsid w:val="78E93CAC"/>
    <w:rsid w:val="7A425AB4"/>
    <w:rsid w:val="7AA15046"/>
    <w:rsid w:val="7AE2272C"/>
    <w:rsid w:val="7B11527A"/>
    <w:rsid w:val="7B2F3497"/>
    <w:rsid w:val="7B4A7A78"/>
    <w:rsid w:val="7C6D39AE"/>
    <w:rsid w:val="7C8E4220"/>
    <w:rsid w:val="7E242CF9"/>
    <w:rsid w:val="7F464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semiHidden="0" w:name="heading 2" w:locked="1"/>
    <w:lsdException w:qFormat="1" w:uiPriority="0" w:semiHidden="0" w:name="heading 3" w:locked="1"/>
    <w:lsdException w:qFormat="1" w:uiPriority="0" w:semiHidden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adjustRightInd w:val="0"/>
      <w:snapToGrid w:val="0"/>
      <w:spacing w:after="200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locked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autoRedefine/>
    <w:unhideWhenUsed/>
    <w:qFormat/>
    <w:locked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autoRedefine/>
    <w:unhideWhenUsed/>
    <w:qFormat/>
    <w:locked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autoRedefine/>
    <w:unhideWhenUsed/>
    <w:qFormat/>
    <w:locked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4"/>
    <w:autoRedefine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7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</w:pPr>
    <w:rPr>
      <w:rFonts w:eastAsia="宋体"/>
      <w:sz w:val="18"/>
      <w:szCs w:val="18"/>
    </w:rPr>
  </w:style>
  <w:style w:type="paragraph" w:styleId="8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rFonts w:eastAsia="宋体"/>
      <w:sz w:val="18"/>
      <w:szCs w:val="18"/>
    </w:rPr>
  </w:style>
  <w:style w:type="paragraph" w:customStyle="1" w:styleId="11">
    <w:name w:val="_Style 1"/>
    <w:autoRedefine/>
    <w:qFormat/>
    <w:uiPriority w:val="0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  <w:style w:type="character" w:customStyle="1" w:styleId="12">
    <w:name w:val="页眉 Char"/>
    <w:link w:val="8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3">
    <w:name w:val="页脚 Char"/>
    <w:link w:val="7"/>
    <w:autoRedefine/>
    <w:semiHidden/>
    <w:qFormat/>
    <w:uiPriority w:val="99"/>
    <w:rPr>
      <w:rFonts w:ascii="Tahoma" w:hAnsi="Tahoma"/>
      <w:sz w:val="18"/>
      <w:szCs w:val="18"/>
    </w:rPr>
  </w:style>
  <w:style w:type="character" w:customStyle="1" w:styleId="14">
    <w:name w:val="批注框文本 Char"/>
    <w:link w:val="6"/>
    <w:autoRedefine/>
    <w:semiHidden/>
    <w:qFormat/>
    <w:uiPriority w:val="99"/>
    <w:rPr>
      <w:rFonts w:ascii="Tahoma" w:hAnsi="Tahoma" w:eastAsia="微软雅黑"/>
      <w:sz w:val="18"/>
      <w:szCs w:val="18"/>
    </w:rPr>
  </w:style>
  <w:style w:type="paragraph" w:customStyle="1" w:styleId="15">
    <w:name w:val="单元格样式1"/>
    <w:basedOn w:val="1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2"/>
    <w:basedOn w:val="1"/>
    <w:autoRedefine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3"/>
    <w:basedOn w:val="1"/>
    <w:autoRedefine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8">
    <w:name w:val="单元格样式4"/>
    <w:basedOn w:val="1"/>
    <w:autoRedefine/>
    <w:qFormat/>
    <w:uiPriority w:val="0"/>
    <w:pPr>
      <w:jc w:val="right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微软用户</Company>
  <Pages>32</Pages>
  <Words>5029</Words>
  <Characters>5425</Characters>
  <Lines>34</Lines>
  <Paragraphs>9</Paragraphs>
  <TotalTime>3</TotalTime>
  <ScaleCrop>false</ScaleCrop>
  <LinksUpToDate>false</LinksUpToDate>
  <CharactersWithSpaces>5463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2016-03-01T07:14:00Z</dcterms:created>
  <dc:creator>微软用户</dc:creator>
  <cp:lastModifiedBy>Administrator</cp:lastModifiedBy>
  <cp:lastPrinted>2024-04-03T06:37:00Z</cp:lastPrinted>
  <dcterms:modified xsi:type="dcterms:W3CDTF">2025-09-08T07:00:18Z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90E5C6F96A3B4B6987CB3DD837502EE8_13</vt:lpwstr>
  </property>
</Properties>
</file>