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DFB52">
      <w:pPr>
        <w:jc w:val="center"/>
        <w:rPr>
          <w:rFonts w:hint="eastAsia" w:ascii="宋体" w:hAnsi="宋体"/>
          <w:b/>
          <w:bCs/>
          <w:sz w:val="44"/>
          <w:szCs w:val="44"/>
        </w:rPr>
      </w:pPr>
      <w:r>
        <w:rPr>
          <w:rFonts w:hint="eastAsia" w:ascii="宋体" w:hAnsi="宋体"/>
          <w:b/>
          <w:bCs/>
          <w:sz w:val="44"/>
          <w:szCs w:val="44"/>
        </w:rPr>
        <w:t>深泽县白庄乡人民政府</w:t>
      </w:r>
    </w:p>
    <w:p w14:paraId="35FAE713">
      <w:pPr>
        <w:jc w:val="center"/>
        <w:rPr>
          <w:rFonts w:hint="eastAsia" w:ascii="宋体" w:hAnsi="宋体"/>
          <w:b/>
          <w:bCs/>
          <w:sz w:val="44"/>
          <w:szCs w:val="44"/>
        </w:rPr>
      </w:pPr>
      <w:r>
        <w:rPr>
          <w:rFonts w:hint="eastAsia" w:ascii="宋体" w:hAnsi="宋体"/>
          <w:b/>
          <w:bCs/>
          <w:sz w:val="44"/>
          <w:szCs w:val="44"/>
        </w:rPr>
        <w:t>2020年部门预算信息公开</w:t>
      </w:r>
    </w:p>
    <w:p w14:paraId="25EF7526">
      <w:pPr>
        <w:ind w:firstLine="640" w:firstLineChars="200"/>
        <w:rPr>
          <w:rFonts w:hint="eastAsia" w:ascii="仿宋" w:hAnsi="仿宋" w:eastAsia="仿宋"/>
          <w:sz w:val="32"/>
          <w:szCs w:val="32"/>
        </w:rPr>
      </w:pPr>
      <w:r>
        <w:rPr>
          <w:rFonts w:ascii="仿宋" w:hAnsi="仿宋" w:eastAsia="仿宋"/>
          <w:sz w:val="32"/>
          <w:szCs w:val="32"/>
        </w:rPr>
        <w:t>按照</w:t>
      </w:r>
      <w:r>
        <w:rPr>
          <w:rFonts w:hint="eastAsia" w:ascii="仿宋" w:hAnsi="仿宋" w:eastAsia="仿宋"/>
          <w:sz w:val="32"/>
          <w:szCs w:val="32"/>
        </w:rPr>
        <w:t>《预算法》、</w:t>
      </w:r>
      <w:r>
        <w:rPr>
          <w:rFonts w:ascii="仿宋" w:hAnsi="仿宋" w:eastAsia="仿宋"/>
          <w:sz w:val="32"/>
          <w:szCs w:val="32"/>
        </w:rPr>
        <w:t>《地方预决算公开操作规程》和《</w:t>
      </w:r>
      <w:r>
        <w:rPr>
          <w:rFonts w:hint="eastAsia" w:ascii="仿宋" w:hAnsi="仿宋" w:eastAsia="仿宋"/>
          <w:sz w:val="32"/>
          <w:szCs w:val="32"/>
        </w:rPr>
        <w:t>县</w:t>
      </w:r>
      <w:r>
        <w:rPr>
          <w:rFonts w:ascii="仿宋" w:hAnsi="仿宋" w:eastAsia="仿宋"/>
          <w:sz w:val="32"/>
          <w:szCs w:val="32"/>
        </w:rPr>
        <w:t>级预算公开办法》</w:t>
      </w:r>
      <w:r>
        <w:rPr>
          <w:rFonts w:hint="eastAsia" w:ascii="仿宋" w:hAnsi="仿宋" w:eastAsia="仿宋"/>
          <w:sz w:val="32"/>
          <w:szCs w:val="32"/>
        </w:rPr>
        <w:t>规定</w:t>
      </w:r>
      <w:r>
        <w:rPr>
          <w:rFonts w:ascii="仿宋" w:hAnsi="仿宋" w:eastAsia="仿宋"/>
          <w:sz w:val="32"/>
          <w:szCs w:val="32"/>
        </w:rPr>
        <w:t>，现将</w:t>
      </w:r>
      <w:r>
        <w:rPr>
          <w:rFonts w:hint="eastAsia" w:ascii="仿宋" w:hAnsi="仿宋" w:eastAsia="仿宋"/>
          <w:sz w:val="32"/>
          <w:szCs w:val="32"/>
        </w:rPr>
        <w:t>2020</w:t>
      </w:r>
      <w:r>
        <w:rPr>
          <w:rFonts w:ascii="仿宋" w:hAnsi="仿宋" w:eastAsia="仿宋"/>
          <w:sz w:val="32"/>
          <w:szCs w:val="32"/>
        </w:rPr>
        <w:t>年部门预算公开如下：</w:t>
      </w:r>
    </w:p>
    <w:p w14:paraId="4A4CB4ED">
      <w:pPr>
        <w:ind w:firstLine="643" w:firstLineChars="200"/>
        <w:rPr>
          <w:rFonts w:hint="eastAsia" w:ascii="方正仿宋_GBK" w:eastAsia="方正仿宋_GBK"/>
          <w:b/>
          <w:sz w:val="32"/>
          <w:szCs w:val="32"/>
        </w:rPr>
      </w:pPr>
      <w:r>
        <w:rPr>
          <w:rFonts w:hint="eastAsia" w:ascii="黑体" w:hAnsi="黑体" w:eastAsia="黑体" w:cs="黑体"/>
          <w:b/>
          <w:sz w:val="32"/>
          <w:szCs w:val="32"/>
        </w:rPr>
        <w:t>一、部门职责及机构设置情况</w:t>
      </w:r>
    </w:p>
    <w:p w14:paraId="4B61EE1B">
      <w:pPr>
        <w:rPr>
          <w:rFonts w:hint="eastAsia" w:ascii="方正仿宋_GBK" w:eastAsia="方正仿宋_GBK"/>
          <w:b/>
          <w:sz w:val="32"/>
          <w:szCs w:val="32"/>
        </w:rPr>
      </w:pPr>
      <w:r>
        <w:rPr>
          <w:rFonts w:hint="eastAsia" w:ascii="宋体" w:hAnsi="宋体"/>
          <w:b/>
          <w:sz w:val="32"/>
          <w:szCs w:val="32"/>
        </w:rPr>
        <w:t xml:space="preserve">   </w:t>
      </w:r>
      <w:r>
        <w:rPr>
          <w:rFonts w:hint="eastAsia" w:ascii="方正仿宋_GBK" w:eastAsia="方正仿宋_GBK"/>
          <w:b/>
          <w:sz w:val="32"/>
          <w:szCs w:val="32"/>
        </w:rPr>
        <w:t>部门职责</w:t>
      </w:r>
    </w:p>
    <w:p w14:paraId="4345EBCF">
      <w:pPr>
        <w:ind w:firstLine="640" w:firstLineChars="200"/>
        <w:rPr>
          <w:rFonts w:hint="eastAsia" w:ascii="仿宋" w:hAnsi="仿宋" w:eastAsia="仿宋"/>
          <w:sz w:val="32"/>
          <w:szCs w:val="32"/>
        </w:rPr>
      </w:pPr>
      <w:r>
        <w:rPr>
          <w:rFonts w:hint="eastAsia" w:ascii="仿宋" w:hAnsi="仿宋" w:eastAsia="仿宋"/>
          <w:sz w:val="32"/>
          <w:szCs w:val="32"/>
        </w:rPr>
        <w:t>一是依法理财原则。将《预算法》的有关精神贯穿于预算编制的全过程，着力推进预算管理改革，完善政府预算体系，改进预算控制机制，优化支出结构，深化预决算公开，逐步建立全面规范、公开透明的预算制度。</w:t>
      </w:r>
    </w:p>
    <w:p w14:paraId="235C486C">
      <w:pPr>
        <w:ind w:firstLine="640" w:firstLineChars="200"/>
        <w:rPr>
          <w:rFonts w:hint="eastAsia" w:ascii="仿宋" w:hAnsi="仿宋" w:eastAsia="仿宋"/>
          <w:sz w:val="32"/>
          <w:szCs w:val="32"/>
        </w:rPr>
      </w:pPr>
      <w:r>
        <w:rPr>
          <w:rFonts w:hint="eastAsia" w:ascii="仿宋" w:hAnsi="仿宋" w:eastAsia="仿宋"/>
          <w:sz w:val="32"/>
          <w:szCs w:val="32"/>
        </w:rPr>
        <w:t>二是统筹兼顾原则。在保障基本公共服务合理需要的前提下，优先安排县委、县政府确定的改善民生、促进产业发展、推进城市建设和支持生态环境治理等重点支出。</w:t>
      </w:r>
    </w:p>
    <w:p w14:paraId="42F90A31">
      <w:pPr>
        <w:ind w:firstLine="640" w:firstLineChars="200"/>
        <w:rPr>
          <w:rFonts w:hint="eastAsia" w:ascii="仿宋" w:hAnsi="仿宋" w:eastAsia="仿宋"/>
          <w:sz w:val="32"/>
          <w:szCs w:val="32"/>
        </w:rPr>
      </w:pPr>
      <w:r>
        <w:rPr>
          <w:rFonts w:hint="eastAsia" w:ascii="仿宋" w:hAnsi="仿宋" w:eastAsia="仿宋"/>
          <w:sz w:val="32"/>
          <w:szCs w:val="32"/>
        </w:rPr>
        <w:t>三是整合财力原则。加大资金整合力度，统筹政府各类可用资金，打破资金壁垒，对资金使用散碎，形不成合力，以及重复建设的支出进行整合，集中财力办大事。</w:t>
      </w:r>
    </w:p>
    <w:p w14:paraId="54E2B23D">
      <w:pPr>
        <w:ind w:firstLine="640" w:firstLineChars="200"/>
        <w:rPr>
          <w:rFonts w:hint="eastAsia" w:ascii="仿宋" w:hAnsi="仿宋" w:eastAsia="仿宋"/>
          <w:sz w:val="32"/>
          <w:szCs w:val="32"/>
        </w:rPr>
      </w:pPr>
      <w:r>
        <w:rPr>
          <w:rFonts w:hint="eastAsia" w:ascii="仿宋" w:hAnsi="仿宋" w:eastAsia="仿宋"/>
          <w:sz w:val="32"/>
          <w:szCs w:val="32"/>
        </w:rPr>
        <w:t>四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14:paraId="02D36854">
      <w:pPr>
        <w:ind w:firstLine="640" w:firstLineChars="200"/>
        <w:rPr>
          <w:rFonts w:hint="eastAsia" w:ascii="仿宋" w:hAnsi="仿宋" w:eastAsia="仿宋"/>
          <w:sz w:val="32"/>
          <w:szCs w:val="32"/>
        </w:rPr>
      </w:pPr>
      <w:r>
        <w:rPr>
          <w:rFonts w:hint="eastAsia" w:ascii="仿宋" w:hAnsi="仿宋" w:eastAsia="仿宋"/>
          <w:sz w:val="32"/>
          <w:szCs w:val="32"/>
        </w:rPr>
        <w:t>五是绩效导向原则。把资金安排与使用绩效相结合，所有发展性支出项目都制定明确的绩效目标，实行财政资金全程绩效监控，科学引导财政资金的流向。</w:t>
      </w:r>
    </w:p>
    <w:p w14:paraId="5723DF6E">
      <w:pPr>
        <w:ind w:firstLine="640" w:firstLineChars="200"/>
        <w:rPr>
          <w:rFonts w:ascii="方正仿宋_GBK" w:eastAsia="方正仿宋_GBK"/>
          <w:sz w:val="28"/>
        </w:rPr>
      </w:pPr>
      <w:r>
        <w:rPr>
          <w:rFonts w:hint="eastAsia" w:ascii="仿宋" w:hAnsi="仿宋" w:eastAsia="仿宋"/>
          <w:sz w:val="32"/>
          <w:szCs w:val="32"/>
        </w:rPr>
        <w:t>六是厉行节约原则。牢固树立过紧日子的思想，坚持勤俭办一切事业，严控“三公”经费和会议培训支出，严禁新建楼堂馆所，严控财政供养人员增长</w:t>
      </w:r>
      <w:r>
        <w:rPr>
          <w:rFonts w:ascii="方正仿宋_GBK" w:eastAsia="方正仿宋_GBK"/>
          <w:sz w:val="28"/>
        </w:rPr>
        <w:t>。</w:t>
      </w:r>
    </w:p>
    <w:p w14:paraId="216BCD1F">
      <w:pPr>
        <w:ind w:firstLine="640" w:firstLineChars="200"/>
        <w:rPr>
          <w:rFonts w:hint="eastAsia" w:ascii="黑体" w:eastAsia="黑体" w:cs="黑体"/>
          <w:sz w:val="32"/>
          <w:szCs w:val="32"/>
        </w:rPr>
      </w:pPr>
      <w:r>
        <w:rPr>
          <w:rFonts w:hint="eastAsia" w:ascii="黑体" w:eastAsia="黑体" w:cs="黑体"/>
          <w:sz w:val="32"/>
          <w:szCs w:val="32"/>
        </w:rPr>
        <w:t>部门机构设置</w:t>
      </w:r>
    </w:p>
    <w:p w14:paraId="12C5BA60">
      <w:pPr>
        <w:jc w:val="center"/>
        <w:outlineLvl w:val="0"/>
        <w:rPr>
          <w:rFonts w:hint="eastAsia" w:ascii="方正小标宋_GBK" w:eastAsia="方正小标宋_GBK"/>
          <w:sz w:val="32"/>
        </w:rPr>
      </w:pPr>
      <w:r>
        <w:rPr>
          <w:rFonts w:hint="eastAsia" w:ascii="方正小标宋_GBK" w:eastAsia="方正小标宋_GBK"/>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6"/>
        <w:gridCol w:w="1373"/>
        <w:gridCol w:w="1845"/>
        <w:gridCol w:w="385"/>
        <w:gridCol w:w="2990"/>
        <w:gridCol w:w="817"/>
      </w:tblGrid>
      <w:tr w14:paraId="117D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Before w:w="0" w:type="dxa"/>
          <w:wAfter w:w="817" w:type="dxa"/>
          <w:trHeight w:val="227" w:hRule="atLeast"/>
          <w:tblHeader/>
          <w:jc w:val="center"/>
        </w:trPr>
        <w:tc>
          <w:tcPr>
            <w:tcW w:w="5969" w:type="dxa"/>
            <w:gridSpan w:val="4"/>
            <w:tcBorders>
              <w:top w:val="single" w:color="FFFFFF" w:sz="6" w:space="0"/>
              <w:left w:val="single" w:color="FFFFFF" w:sz="6" w:space="0"/>
              <w:right w:val="single" w:color="FFFFFF" w:sz="6" w:space="0"/>
            </w:tcBorders>
            <w:noWrap w:val="0"/>
            <w:vAlign w:val="center"/>
          </w:tcPr>
          <w:p w14:paraId="615083B6">
            <w:pPr>
              <w:spacing w:line="300" w:lineRule="exact"/>
              <w:jc w:val="left"/>
              <w:rPr>
                <w:rFonts w:hint="eastAsia" w:ascii="方正小标宋_GBK" w:eastAsia="方正小标宋_GBK"/>
                <w:sz w:val="24"/>
              </w:rPr>
            </w:pPr>
          </w:p>
        </w:tc>
        <w:tc>
          <w:tcPr>
            <w:tcW w:w="2990" w:type="dxa"/>
            <w:tcBorders>
              <w:top w:val="single" w:color="FFFFFF" w:sz="6" w:space="0"/>
              <w:left w:val="single" w:color="FFFFFF" w:sz="6" w:space="0"/>
              <w:right w:val="single" w:color="FFFFFF" w:sz="6" w:space="0"/>
            </w:tcBorders>
            <w:noWrap w:val="0"/>
            <w:vAlign w:val="center"/>
          </w:tcPr>
          <w:p w14:paraId="75AFE328">
            <w:pPr>
              <w:spacing w:line="300" w:lineRule="exact"/>
              <w:jc w:val="right"/>
              <w:rPr>
                <w:rFonts w:hint="eastAsia" w:ascii="方正小标宋_GBK" w:eastAsia="方正小标宋_GBK"/>
                <w:sz w:val="24"/>
              </w:rPr>
            </w:pPr>
            <w:r>
              <w:rPr>
                <w:rFonts w:hint="eastAsia" w:ascii="方正小标宋_GBK" w:eastAsia="方正小标宋_GBK"/>
                <w:sz w:val="24"/>
              </w:rPr>
              <w:t xml:space="preserve"> </w:t>
            </w:r>
          </w:p>
        </w:tc>
      </w:tr>
      <w:tr w14:paraId="4E3B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12" w:hRule="atLeast"/>
          <w:tblHeader/>
          <w:jc w:val="center"/>
        </w:trPr>
        <w:tc>
          <w:tcPr>
            <w:tcW w:w="2366" w:type="dxa"/>
            <w:vMerge w:val="restart"/>
            <w:noWrap w:val="0"/>
            <w:vAlign w:val="center"/>
          </w:tcPr>
          <w:p w14:paraId="7EC796B2">
            <w:pPr>
              <w:spacing w:line="300" w:lineRule="exact"/>
              <w:jc w:val="center"/>
              <w:rPr>
                <w:rFonts w:hint="eastAsia" w:ascii="方正书宋_GBK" w:eastAsia="方正书宋_GBK"/>
                <w:b/>
              </w:rPr>
            </w:pPr>
            <w:r>
              <w:rPr>
                <w:rFonts w:hint="eastAsia" w:ascii="方正书宋_GBK" w:eastAsia="方正书宋_GBK"/>
                <w:b/>
              </w:rPr>
              <w:t>单位名称</w:t>
            </w:r>
          </w:p>
        </w:tc>
        <w:tc>
          <w:tcPr>
            <w:tcW w:w="1373" w:type="dxa"/>
            <w:vMerge w:val="restart"/>
            <w:noWrap w:val="0"/>
            <w:vAlign w:val="center"/>
          </w:tcPr>
          <w:p w14:paraId="2E3C3180">
            <w:pPr>
              <w:spacing w:line="300" w:lineRule="exact"/>
              <w:jc w:val="center"/>
              <w:rPr>
                <w:rFonts w:hint="eastAsia" w:ascii="方正书宋_GBK" w:eastAsia="方正书宋_GBK"/>
                <w:b/>
              </w:rPr>
            </w:pPr>
            <w:r>
              <w:rPr>
                <w:rFonts w:hint="eastAsia" w:ascii="方正书宋_GBK" w:eastAsia="方正书宋_GBK"/>
                <w:b/>
              </w:rPr>
              <w:t>单位性质</w:t>
            </w:r>
          </w:p>
        </w:tc>
        <w:tc>
          <w:tcPr>
            <w:tcW w:w="1845" w:type="dxa"/>
            <w:vMerge w:val="restart"/>
            <w:noWrap w:val="0"/>
            <w:vAlign w:val="center"/>
          </w:tcPr>
          <w:p w14:paraId="6D3C1CFC">
            <w:pPr>
              <w:spacing w:line="300" w:lineRule="exact"/>
              <w:jc w:val="center"/>
              <w:rPr>
                <w:rFonts w:hint="eastAsia" w:ascii="方正书宋_GBK" w:eastAsia="方正书宋_GBK"/>
                <w:b/>
              </w:rPr>
            </w:pPr>
            <w:r>
              <w:rPr>
                <w:rFonts w:hint="eastAsia" w:ascii="方正书宋_GBK" w:eastAsia="方正书宋_GBK"/>
                <w:b/>
              </w:rPr>
              <w:t>单位规格</w:t>
            </w:r>
          </w:p>
        </w:tc>
        <w:tc>
          <w:tcPr>
            <w:tcW w:w="4192" w:type="dxa"/>
            <w:gridSpan w:val="3"/>
            <w:vMerge w:val="restart"/>
            <w:noWrap w:val="0"/>
            <w:vAlign w:val="center"/>
          </w:tcPr>
          <w:p w14:paraId="284F4F0D">
            <w:pPr>
              <w:spacing w:line="300" w:lineRule="exact"/>
              <w:jc w:val="center"/>
              <w:rPr>
                <w:rFonts w:hint="eastAsia" w:ascii="方正书宋_GBK" w:eastAsia="方正书宋_GBK"/>
                <w:b/>
              </w:rPr>
            </w:pPr>
            <w:r>
              <w:rPr>
                <w:rFonts w:hint="eastAsia" w:ascii="方正书宋_GBK" w:eastAsia="方正书宋_GBK"/>
                <w:b/>
              </w:rPr>
              <w:t>经费保障形式</w:t>
            </w:r>
          </w:p>
        </w:tc>
      </w:tr>
      <w:tr w14:paraId="6072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cantSplit/>
          <w:trHeight w:val="312" w:hRule="atLeast"/>
          <w:tblHeader/>
          <w:jc w:val="center"/>
        </w:trPr>
        <w:tc>
          <w:tcPr>
            <w:tcW w:w="2366" w:type="dxa"/>
            <w:vMerge w:val="continue"/>
            <w:noWrap w:val="0"/>
            <w:vAlign w:val="center"/>
          </w:tcPr>
          <w:p w14:paraId="15475A44"/>
        </w:tc>
        <w:tc>
          <w:tcPr>
            <w:tcW w:w="1373" w:type="dxa"/>
            <w:vMerge w:val="continue"/>
            <w:noWrap w:val="0"/>
            <w:vAlign w:val="center"/>
          </w:tcPr>
          <w:p w14:paraId="54EA3934"/>
        </w:tc>
        <w:tc>
          <w:tcPr>
            <w:tcW w:w="1845" w:type="dxa"/>
            <w:vMerge w:val="continue"/>
            <w:noWrap w:val="0"/>
            <w:vAlign w:val="center"/>
          </w:tcPr>
          <w:p w14:paraId="120E72D1"/>
        </w:tc>
        <w:tc>
          <w:tcPr>
            <w:tcW w:w="4192" w:type="dxa"/>
            <w:gridSpan w:val="3"/>
            <w:vMerge w:val="continue"/>
            <w:noWrap w:val="0"/>
            <w:vAlign w:val="center"/>
          </w:tcPr>
          <w:p w14:paraId="5D74F343"/>
        </w:tc>
      </w:tr>
      <w:tr w14:paraId="0F52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66" w:type="dxa"/>
            <w:noWrap w:val="0"/>
            <w:vAlign w:val="center"/>
          </w:tcPr>
          <w:p w14:paraId="688AC0F4">
            <w:pPr>
              <w:spacing w:line="300" w:lineRule="exact"/>
              <w:jc w:val="center"/>
              <w:rPr>
                <w:rFonts w:hint="eastAsia" w:ascii="方正书宋_GBK" w:eastAsia="方正书宋_GBK"/>
              </w:rPr>
            </w:pPr>
            <w:r>
              <w:rPr>
                <w:rFonts w:hint="eastAsia" w:ascii="方正书宋_GBK" w:eastAsia="方正书宋_GBK"/>
              </w:rPr>
              <w:t>深泽县白庄乡人民政府</w:t>
            </w:r>
          </w:p>
        </w:tc>
        <w:tc>
          <w:tcPr>
            <w:tcW w:w="1373" w:type="dxa"/>
            <w:noWrap w:val="0"/>
            <w:vAlign w:val="center"/>
          </w:tcPr>
          <w:p w14:paraId="1BC7D484">
            <w:pPr>
              <w:spacing w:line="300" w:lineRule="exact"/>
              <w:jc w:val="center"/>
              <w:rPr>
                <w:rFonts w:ascii="方正书宋_GBK" w:eastAsia="方正书宋_GBK"/>
              </w:rPr>
            </w:pPr>
            <w:r>
              <w:rPr>
                <w:rFonts w:hint="eastAsia" w:ascii="方正书宋_GBK" w:eastAsia="方正书宋_GBK"/>
              </w:rPr>
              <w:t>行政</w:t>
            </w:r>
          </w:p>
        </w:tc>
        <w:tc>
          <w:tcPr>
            <w:tcW w:w="1845" w:type="dxa"/>
            <w:noWrap w:val="0"/>
            <w:vAlign w:val="center"/>
          </w:tcPr>
          <w:p w14:paraId="701542F6">
            <w:pPr>
              <w:spacing w:line="300" w:lineRule="exact"/>
              <w:jc w:val="center"/>
              <w:rPr>
                <w:rFonts w:ascii="方正书宋_GBK" w:eastAsia="方正书宋_GBK"/>
              </w:rPr>
            </w:pPr>
            <w:r>
              <w:rPr>
                <w:rFonts w:hint="eastAsia" w:ascii="方正书宋_GBK" w:eastAsia="方正书宋_GBK"/>
              </w:rPr>
              <w:t>正科级</w:t>
            </w:r>
          </w:p>
        </w:tc>
        <w:tc>
          <w:tcPr>
            <w:tcW w:w="4192" w:type="dxa"/>
            <w:gridSpan w:val="3"/>
            <w:noWrap w:val="0"/>
            <w:vAlign w:val="center"/>
          </w:tcPr>
          <w:p w14:paraId="44718BA0">
            <w:pPr>
              <w:spacing w:line="300" w:lineRule="exact"/>
              <w:jc w:val="center"/>
              <w:rPr>
                <w:rFonts w:ascii="方正书宋_GBK" w:eastAsia="方正书宋_GBK"/>
              </w:rPr>
            </w:pPr>
            <w:r>
              <w:rPr>
                <w:rFonts w:hint="eastAsia" w:ascii="方正书宋_GBK" w:eastAsia="方正书宋_GBK"/>
              </w:rPr>
              <w:t>财政拨款</w:t>
            </w:r>
          </w:p>
        </w:tc>
      </w:tr>
    </w:tbl>
    <w:p w14:paraId="5DE756D8"/>
    <w:p w14:paraId="12370093">
      <w:pPr>
        <w:ind w:firstLine="640"/>
        <w:rPr>
          <w:rFonts w:hint="eastAsia" w:ascii="黑体" w:hAnsi="黑体" w:eastAsia="黑体"/>
          <w:sz w:val="32"/>
          <w:szCs w:val="32"/>
        </w:rPr>
      </w:pPr>
    </w:p>
    <w:p w14:paraId="6396BC7C">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398E715F">
      <w:pPr>
        <w:ind w:firstLine="640"/>
        <w:rPr>
          <w:rFonts w:ascii="仿宋" w:hAnsi="仿宋" w:eastAsia="仿宋"/>
          <w:sz w:val="32"/>
          <w:szCs w:val="32"/>
        </w:rPr>
      </w:pPr>
      <w:r>
        <w:rPr>
          <w:rFonts w:ascii="仿宋" w:hAnsi="仿宋" w:eastAsia="仿宋"/>
          <w:sz w:val="32"/>
          <w:szCs w:val="32"/>
        </w:rPr>
        <w:t>按照预算管理有关规定，目前我</w:t>
      </w:r>
      <w:r>
        <w:rPr>
          <w:rFonts w:hint="eastAsia" w:ascii="仿宋" w:hAnsi="仿宋" w:eastAsia="仿宋"/>
          <w:sz w:val="32"/>
          <w:szCs w:val="32"/>
        </w:rPr>
        <w:t>县</w:t>
      </w:r>
      <w:r>
        <w:rPr>
          <w:rFonts w:ascii="仿宋" w:hAnsi="仿宋" w:eastAsia="仿宋"/>
          <w:sz w:val="32"/>
          <w:szCs w:val="32"/>
        </w:rPr>
        <w:t>部门预算的编制实行综合预算制度，即全部收入和支出都反映的预算中。</w:t>
      </w:r>
      <w:r>
        <w:rPr>
          <w:rFonts w:hint="eastAsia" w:ascii="仿宋" w:hAnsi="仿宋" w:eastAsia="仿宋"/>
          <w:sz w:val="32"/>
          <w:szCs w:val="32"/>
        </w:rPr>
        <w:t>深泽县</w:t>
      </w:r>
      <w:r>
        <w:rPr>
          <w:rFonts w:ascii="仿宋" w:hAnsi="仿宋" w:eastAsia="仿宋"/>
          <w:sz w:val="32"/>
          <w:szCs w:val="32"/>
        </w:rPr>
        <w:t>及所属事业单位的收支包含在部门预算中。</w:t>
      </w:r>
    </w:p>
    <w:p w14:paraId="51EAC6D0">
      <w:pPr>
        <w:ind w:firstLine="640" w:firstLineChars="20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收入说明</w:t>
      </w:r>
      <w:r>
        <w:rPr>
          <w:rFonts w:hint="eastAsia" w:ascii="仿宋" w:hAnsi="仿宋" w:eastAsia="仿宋"/>
          <w:sz w:val="32"/>
          <w:szCs w:val="32"/>
        </w:rPr>
        <w:t xml:space="preserve"> </w:t>
      </w:r>
    </w:p>
    <w:p w14:paraId="5A120EFB">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sz w:val="32"/>
          <w:szCs w:val="32"/>
        </w:rPr>
        <w:t>反映本部门当年全部收入，2020年预算收入2246.52万元，其中：一般公共预算收入2246.52万元、</w:t>
      </w:r>
      <w:r>
        <w:rPr>
          <w:rFonts w:hint="eastAsia" w:ascii="仿宋" w:hAnsi="仿宋" w:eastAsia="仿宋" w:cs="仿宋_GB2312"/>
          <w:bCs/>
          <w:sz w:val="32"/>
          <w:szCs w:val="32"/>
        </w:rPr>
        <w:t>政府性基金收入0万元、国有资本经营预算收入0万元、财政专户核拨收入0万元，其他来源收入0万元。</w:t>
      </w:r>
    </w:p>
    <w:p w14:paraId="26607AC1">
      <w:pPr>
        <w:numPr>
          <w:ilvl w:val="0"/>
          <w:numId w:val="1"/>
        </w:numPr>
        <w:ind w:firstLine="640"/>
        <w:rPr>
          <w:rFonts w:ascii="仿宋" w:hAnsi="仿宋" w:eastAsia="仿宋"/>
          <w:sz w:val="32"/>
          <w:szCs w:val="32"/>
        </w:rPr>
      </w:pPr>
      <w:r>
        <w:rPr>
          <w:rFonts w:ascii="仿宋" w:hAnsi="仿宋" w:eastAsia="仿宋"/>
          <w:sz w:val="32"/>
          <w:szCs w:val="32"/>
        </w:rPr>
        <w:t>支出说明</w:t>
      </w:r>
    </w:p>
    <w:p w14:paraId="06E46FA5">
      <w:pPr>
        <w:rPr>
          <w:rFonts w:ascii="仿宋" w:hAnsi="仿宋" w:eastAsia="仿宋" w:cs="仿宋_GB2312"/>
          <w:sz w:val="32"/>
          <w:szCs w:val="32"/>
        </w:rPr>
      </w:pPr>
      <w:r>
        <w:rPr>
          <w:rFonts w:hint="eastAsia" w:ascii="仿宋" w:hAnsi="仿宋" w:eastAsia="仿宋"/>
          <w:sz w:val="32"/>
          <w:szCs w:val="32"/>
        </w:rPr>
        <w:t xml:space="preserve">    </w:t>
      </w:r>
      <w:r>
        <w:rPr>
          <w:rFonts w:hint="eastAsia" w:ascii="仿宋" w:hAnsi="仿宋" w:eastAsia="仿宋" w:cs="仿宋_GB2312"/>
          <w:sz w:val="32"/>
          <w:szCs w:val="32"/>
        </w:rPr>
        <w:t>收支预算总表支出栏、基本支出表、项目支出表按经济分类和支出功能分类科目编制，反映深泽县桥头乡人民政府年度部门预算中支出预算的总体情况。2020年部门支出预算为2246.52万元，其中基本支出528.52万元，包括人员经费438.41万元和日常公用经费90.11万元；项目支出1718万元，全部为本级支出。</w:t>
      </w:r>
    </w:p>
    <w:p w14:paraId="01309977">
      <w:pPr>
        <w:numPr>
          <w:ilvl w:val="0"/>
          <w:numId w:val="1"/>
        </w:numPr>
        <w:ind w:firstLine="640"/>
        <w:rPr>
          <w:rFonts w:ascii="仿宋" w:hAnsi="仿宋" w:eastAsia="仿宋"/>
          <w:sz w:val="32"/>
          <w:szCs w:val="32"/>
        </w:rPr>
      </w:pPr>
      <w:r>
        <w:rPr>
          <w:rFonts w:ascii="仿宋" w:hAnsi="仿宋" w:eastAsia="仿宋"/>
          <w:sz w:val="32"/>
          <w:szCs w:val="32"/>
        </w:rPr>
        <w:t>比上年增减情况</w:t>
      </w:r>
    </w:p>
    <w:p w14:paraId="459279CC">
      <w:pPr>
        <w:ind w:firstLine="630"/>
        <w:rPr>
          <w:rFonts w:hint="eastAsia" w:ascii="仿宋" w:hAnsi="仿宋" w:eastAsia="仿宋" w:cs="仿宋_GB2312"/>
          <w:sz w:val="32"/>
          <w:szCs w:val="32"/>
        </w:rPr>
      </w:pPr>
      <w:r>
        <w:rPr>
          <w:rFonts w:hint="eastAsia" w:ascii="仿宋" w:hAnsi="仿宋" w:eastAsia="仿宋" w:cs="仿宋_GB2312"/>
          <w:sz w:val="32"/>
          <w:szCs w:val="32"/>
        </w:rPr>
        <w:t>2020年部门预算较2019年增加309.58万元，其中：基本支出减少106.42万元，主要是人员减少降低经费；项目支出增加416万元,主要是今年项目有所调整。</w:t>
      </w:r>
    </w:p>
    <w:p w14:paraId="61C30CFB">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31C3E4A0">
      <w:pPr>
        <w:ind w:firstLine="640" w:firstLineChars="200"/>
        <w:rPr>
          <w:rFonts w:hint="eastAsia" w:ascii="仿宋" w:hAnsi="仿宋" w:eastAsia="仿宋"/>
          <w:sz w:val="32"/>
          <w:szCs w:val="32"/>
        </w:rPr>
      </w:pPr>
      <w:r>
        <w:rPr>
          <w:rFonts w:hint="eastAsia" w:ascii="仿宋" w:hAnsi="仿宋" w:eastAsia="仿宋"/>
          <w:sz w:val="32"/>
          <w:szCs w:val="32"/>
        </w:rPr>
        <w:t>2020年度机关运行经费预算90.11</w:t>
      </w:r>
      <w:r>
        <w:rPr>
          <w:rFonts w:hint="eastAsia" w:ascii="仿宋" w:hAnsi="仿宋" w:eastAsia="仿宋" w:cs="仿宋_GB2312"/>
          <w:bCs/>
          <w:sz w:val="32"/>
          <w:szCs w:val="32"/>
        </w:rPr>
        <w:t>万元</w:t>
      </w:r>
      <w:r>
        <w:rPr>
          <w:rFonts w:hint="eastAsia" w:ascii="仿宋" w:hAnsi="仿宋" w:eastAsia="仿宋"/>
          <w:sz w:val="32"/>
          <w:szCs w:val="32"/>
        </w:rPr>
        <w:t>,主要用于保证机关正常运转的办公费、水电费、取暖费、差旅费、维修（护）费、公务用车运行维护费、工会经费、其他交通费用、其他商品和服务支出。</w:t>
      </w:r>
    </w:p>
    <w:p w14:paraId="764AE8A1">
      <w:pPr>
        <w:ind w:firstLine="640" w:firstLineChars="200"/>
        <w:rPr>
          <w:rFonts w:ascii="仿宋" w:hAnsi="仿宋" w:eastAsia="仿宋"/>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14:paraId="12D28BA4">
      <w:pPr>
        <w:spacing w:line="580" w:lineRule="exact"/>
        <w:ind w:firstLine="640" w:firstLineChars="200"/>
        <w:rPr>
          <w:rFonts w:hint="eastAsia" w:ascii="黑体" w:hAnsi="黑体" w:eastAsia="黑体" w:cs="黑体"/>
          <w:b/>
          <w:sz w:val="32"/>
          <w:szCs w:val="32"/>
        </w:rPr>
      </w:pPr>
      <w:r>
        <w:rPr>
          <w:rFonts w:hint="eastAsia" w:ascii="仿宋" w:hAnsi="仿宋" w:eastAsia="仿宋" w:cs="仿宋_GB2312"/>
          <w:sz w:val="32"/>
          <w:szCs w:val="32"/>
        </w:rPr>
        <w:t>2020年“三公”经费支出5万元，与上年持平，无增减变化。其中：因公出国（境）费0万元，与上年持平，无增减变化；公务用车购置及运行维护费5万元(其中公务用车购置0万元，公务用车运行维护费5万元），与上年持平，无增减变化；公务接待费0万元，与2019年持平。</w:t>
      </w:r>
    </w:p>
    <w:p w14:paraId="7C72DEF2">
      <w:pPr>
        <w:ind w:firstLine="643" w:firstLineChars="200"/>
        <w:jc w:val="left"/>
        <w:rPr>
          <w:rFonts w:hint="eastAsia" w:ascii="黑体" w:hAnsi="黑体" w:eastAsia="黑体" w:cs="黑体"/>
          <w:b/>
          <w:sz w:val="32"/>
          <w:szCs w:val="32"/>
        </w:rPr>
      </w:pPr>
      <w:r>
        <w:rPr>
          <w:rFonts w:hint="eastAsia" w:ascii="黑体" w:hAnsi="黑体" w:eastAsia="黑体" w:cs="黑体"/>
          <w:b/>
          <w:sz w:val="32"/>
          <w:szCs w:val="32"/>
        </w:rPr>
        <w:t>五、绩效预算信息</w:t>
      </w:r>
    </w:p>
    <w:p w14:paraId="1F1B4F22">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总体绩效目标：</w:t>
      </w:r>
    </w:p>
    <w:p w14:paraId="7D2727A8">
      <w:pPr>
        <w:rPr>
          <w:rFonts w:ascii="仿宋" w:hAnsi="仿宋" w:eastAsia="仿宋"/>
          <w:sz w:val="32"/>
          <w:szCs w:val="32"/>
        </w:rPr>
      </w:pPr>
      <w:r>
        <w:rPr>
          <w:rFonts w:hint="eastAsia" w:ascii="方正仿宋_GBK"/>
          <w:sz w:val="28"/>
        </w:rPr>
        <w:t xml:space="preserve">    </w:t>
      </w:r>
      <w:r>
        <w:rPr>
          <w:rFonts w:ascii="仿宋" w:hAnsi="仿宋" w:eastAsia="仿宋"/>
          <w:sz w:val="32"/>
          <w:szCs w:val="32"/>
        </w:rPr>
        <w:t>加快社</w:t>
      </w:r>
      <w:r>
        <w:rPr>
          <w:rFonts w:hint="eastAsia" w:ascii="仿宋" w:hAnsi="仿宋" w:eastAsia="仿宋"/>
          <w:sz w:val="32"/>
          <w:szCs w:val="32"/>
        </w:rPr>
        <w:t>会各项事业发展，努力构建和谐社会。</w:t>
      </w:r>
    </w:p>
    <w:p w14:paraId="1CBB893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3"/>
        <w:rPr>
          <w:rFonts w:hint="eastAsia" w:ascii="仿宋" w:hAnsi="仿宋" w:eastAsia="仿宋"/>
          <w:sz w:val="32"/>
          <w:szCs w:val="32"/>
        </w:rPr>
      </w:pPr>
      <w:r>
        <w:rPr>
          <w:rFonts w:ascii="仿宋" w:hAnsi="仿宋" w:eastAsia="仿宋"/>
          <w:sz w:val="32"/>
          <w:szCs w:val="32"/>
        </w:rPr>
        <w:t>一是完善</w:t>
      </w:r>
      <w:r>
        <w:rPr>
          <w:rFonts w:hint="eastAsia" w:ascii="仿宋" w:hAnsi="仿宋" w:eastAsia="仿宋"/>
          <w:sz w:val="32"/>
          <w:szCs w:val="32"/>
        </w:rPr>
        <w:t>奖励人口和生扶助优惠政策，进一步提高出生人口素质。二是严格执行节能和减排目标责任制，促进节约型社会建设。三是完善突发公共事件应急处置机制，确保人民群众的生命和财产安全。四是继续抓好防汛救灾工作。五是组织开展安全生产整治工作，彻底消除安全隐患，杜绝重大事故发生，确保人民安居乐业。六是做好民政优抚工作，进一步严格规范程序，落实各项帮扶措施，做到应保尽保。建立社区性互助幸福院，切实解决孤寡老人的晚年生活。七是做好社会治安综合治理及矛盾纠纷排查工作，力争不出现群</w:t>
      </w:r>
      <w:r>
        <w:rPr>
          <w:rFonts w:ascii="仿宋" w:hAnsi="仿宋" w:eastAsia="仿宋"/>
          <w:sz w:val="32"/>
          <w:szCs w:val="32"/>
        </w:rPr>
        <w:t>体事件和群</w:t>
      </w:r>
      <w:r>
        <w:rPr>
          <w:rFonts w:hint="eastAsia" w:ascii="仿宋" w:hAnsi="仿宋" w:eastAsia="仿宋"/>
          <w:sz w:val="32"/>
          <w:szCs w:val="32"/>
        </w:rPr>
        <w:t>众非正常访。八是全面做好卫生、环保、武装、社保就业、残联等各项工作，创建繁荣和谐农村新局面。</w:t>
      </w:r>
    </w:p>
    <w:p w14:paraId="6499DD8E">
      <w:pPr>
        <w:ind w:firstLine="643" w:firstLineChars="200"/>
        <w:jc w:val="left"/>
        <w:rPr>
          <w:rFonts w:hint="eastAsia" w:ascii="黑体" w:hAnsi="黑体" w:eastAsia="黑体" w:cs="黑体"/>
          <w:b/>
          <w:sz w:val="32"/>
          <w:szCs w:val="32"/>
        </w:rPr>
      </w:pPr>
      <w:r>
        <w:rPr>
          <w:rFonts w:hint="eastAsia" w:ascii="仿宋" w:hAnsi="仿宋" w:eastAsia="仿宋" w:cs="仿宋"/>
          <w:b/>
          <w:sz w:val="32"/>
          <w:szCs w:val="32"/>
        </w:rPr>
        <w:t>职责分类绩效目标：</w:t>
      </w:r>
    </w:p>
    <w:p w14:paraId="1508C719">
      <w:pPr>
        <w:ind w:firstLine="56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、社会管理</w:t>
      </w:r>
      <w:r>
        <w:rPr>
          <w:rFonts w:hint="eastAsia" w:ascii="仿宋" w:hAnsi="仿宋" w:eastAsia="仿宋"/>
          <w:sz w:val="32"/>
          <w:szCs w:val="32"/>
        </w:rPr>
        <w:t>职责。包括：</w:t>
      </w:r>
      <w:r>
        <w:rPr>
          <w:rFonts w:ascii="仿宋" w:hAnsi="仿宋" w:eastAsia="仿宋"/>
          <w:sz w:val="32"/>
          <w:szCs w:val="32"/>
        </w:rPr>
        <w:t>1.</w:t>
      </w:r>
      <w:r>
        <w:rPr>
          <w:rFonts w:hint="eastAsia" w:ascii="仿宋" w:hAnsi="仿宋" w:eastAsia="仿宋"/>
          <w:sz w:val="32"/>
          <w:szCs w:val="32"/>
        </w:rPr>
        <w:t>贯彻执行上级的各项方针政策，保障公民享有宪法规定的经济、政治和文化权利；</w:t>
      </w:r>
      <w:r>
        <w:rPr>
          <w:rFonts w:ascii="仿宋" w:hAnsi="仿宋" w:eastAsia="仿宋"/>
          <w:sz w:val="32"/>
          <w:szCs w:val="32"/>
        </w:rPr>
        <w:t>2.加</w:t>
      </w:r>
      <w:r>
        <w:rPr>
          <w:rFonts w:hint="eastAsia" w:ascii="仿宋" w:hAnsi="仿宋" w:eastAsia="仿宋"/>
          <w:sz w:val="32"/>
          <w:szCs w:val="32"/>
        </w:rPr>
        <w:t>强综合治</w:t>
      </w:r>
      <w:bookmarkStart w:id="3" w:name="_GoBack"/>
      <w:bookmarkEnd w:id="3"/>
      <w:r>
        <w:rPr>
          <w:rFonts w:hint="eastAsia" w:ascii="仿宋" w:hAnsi="仿宋" w:eastAsia="仿宋"/>
          <w:sz w:val="32"/>
          <w:szCs w:val="32"/>
        </w:rPr>
        <w:t>理，维护社会稳定，妥善处理突发性、群体性事件，调节和处理好各种利益矛盾和</w:t>
      </w:r>
      <w:r>
        <w:rPr>
          <w:rFonts w:hint="eastAsia" w:ascii="仿宋" w:hAnsi="仿宋" w:eastAsia="仿宋"/>
          <w:sz w:val="32"/>
          <w:szCs w:val="32"/>
          <w:lang w:eastAsia="zh-CN"/>
        </w:rPr>
        <w:t>纠纷</w:t>
      </w:r>
      <w:r>
        <w:rPr>
          <w:rFonts w:hint="eastAsia" w:ascii="仿宋" w:hAnsi="仿宋" w:eastAsia="仿宋"/>
          <w:sz w:val="32"/>
          <w:szCs w:val="32"/>
        </w:rPr>
        <w:t>；</w:t>
      </w:r>
      <w:r>
        <w:rPr>
          <w:rFonts w:ascii="仿宋" w:hAnsi="仿宋" w:eastAsia="仿宋"/>
          <w:sz w:val="32"/>
          <w:szCs w:val="32"/>
        </w:rPr>
        <w:t>3.根据</w:t>
      </w:r>
      <w:r>
        <w:rPr>
          <w:rFonts w:hint="eastAsia" w:ascii="仿宋" w:hAnsi="仿宋" w:eastAsia="仿宋"/>
          <w:sz w:val="32"/>
          <w:szCs w:val="32"/>
        </w:rPr>
        <w:t>乡村社会的需要，组织制定和推动落实经农民认可的乡规民约，构建和谐的乡村社会等。</w:t>
      </w:r>
    </w:p>
    <w:p w14:paraId="02F6E787">
      <w:pPr>
        <w:ind w:firstLine="56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w:t>
      </w:r>
      <w:r>
        <w:rPr>
          <w:rFonts w:hint="eastAsia" w:ascii="仿宋" w:hAnsi="仿宋" w:eastAsia="仿宋"/>
          <w:sz w:val="32"/>
          <w:szCs w:val="32"/>
        </w:rPr>
        <w:t>发展经济职责。包括</w:t>
      </w:r>
      <w:r>
        <w:rPr>
          <w:rFonts w:ascii="仿宋" w:hAnsi="仿宋" w:eastAsia="仿宋"/>
          <w:sz w:val="32"/>
          <w:szCs w:val="32"/>
        </w:rPr>
        <w:t>1.</w:t>
      </w:r>
      <w:r>
        <w:rPr>
          <w:rFonts w:hint="eastAsia" w:ascii="仿宋" w:hAnsi="仿宋" w:eastAsia="仿宋"/>
          <w:sz w:val="32"/>
          <w:szCs w:val="32"/>
        </w:rPr>
        <w:t>组织制定本乡产业发展规划，指导产业结构调整，形成地域产业特色；</w:t>
      </w:r>
      <w:r>
        <w:rPr>
          <w:rFonts w:ascii="仿宋" w:hAnsi="仿宋" w:eastAsia="仿宋"/>
          <w:sz w:val="32"/>
          <w:szCs w:val="32"/>
        </w:rPr>
        <w:t>2.</w:t>
      </w:r>
      <w:r>
        <w:rPr>
          <w:rFonts w:hint="eastAsia" w:ascii="仿宋" w:hAnsi="仿宋" w:eastAsia="仿宋"/>
          <w:sz w:val="32"/>
          <w:szCs w:val="32"/>
        </w:rPr>
        <w:t>组织营造良好的投资环境，包括政策环境、硬件环境、社会环境，加大招商引资力度；</w:t>
      </w:r>
      <w:r>
        <w:rPr>
          <w:rFonts w:ascii="仿宋" w:hAnsi="仿宋" w:eastAsia="仿宋"/>
          <w:sz w:val="32"/>
          <w:szCs w:val="32"/>
        </w:rPr>
        <w:t>3.通</w:t>
      </w:r>
      <w:r>
        <w:rPr>
          <w:rFonts w:hint="eastAsia" w:ascii="仿宋" w:hAnsi="仿宋" w:eastAsia="仿宋"/>
          <w:sz w:val="32"/>
          <w:szCs w:val="32"/>
        </w:rPr>
        <w:t>过推动和引导农村经济合作组织的发展，指导农村生产，提高农村</w:t>
      </w:r>
      <w:r>
        <w:rPr>
          <w:rFonts w:ascii="仿宋" w:hAnsi="仿宋" w:eastAsia="仿宋"/>
          <w:sz w:val="32"/>
          <w:szCs w:val="32"/>
        </w:rPr>
        <w:t>生</w:t>
      </w:r>
      <w:r>
        <w:rPr>
          <w:rFonts w:hint="eastAsia" w:ascii="仿宋" w:hAnsi="仿宋" w:eastAsia="仿宋"/>
          <w:sz w:val="32"/>
          <w:szCs w:val="32"/>
        </w:rPr>
        <w:t>产组织化程度；</w:t>
      </w:r>
      <w:r>
        <w:rPr>
          <w:rFonts w:ascii="仿宋" w:hAnsi="仿宋" w:eastAsia="仿宋"/>
          <w:sz w:val="32"/>
          <w:szCs w:val="32"/>
        </w:rPr>
        <w:t>4.加</w:t>
      </w:r>
      <w:r>
        <w:rPr>
          <w:rFonts w:hint="eastAsia" w:ascii="仿宋" w:hAnsi="仿宋" w:eastAsia="仿宋"/>
          <w:sz w:val="32"/>
          <w:szCs w:val="32"/>
        </w:rPr>
        <w:t>强信息服务，密切本地农产品的市场衔接，促进农业新技术的推广。</w:t>
      </w:r>
      <w:r>
        <w:rPr>
          <w:rFonts w:ascii="仿宋" w:hAnsi="仿宋" w:eastAsia="仿宋"/>
          <w:sz w:val="32"/>
          <w:szCs w:val="32"/>
        </w:rPr>
        <w:t xml:space="preserve"> </w:t>
      </w:r>
    </w:p>
    <w:p w14:paraId="63382A77">
      <w:pPr>
        <w:ind w:firstLine="56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、公共服</w:t>
      </w:r>
      <w:r>
        <w:rPr>
          <w:rFonts w:hint="eastAsia" w:ascii="仿宋" w:hAnsi="仿宋" w:eastAsia="仿宋"/>
          <w:sz w:val="32"/>
          <w:szCs w:val="32"/>
        </w:rPr>
        <w:t>务职责。抓好公共服务，提供公共产品，政府责无旁贷。乡政府应管好用好国家转移到农村的各种资金，为乡村提供必要的社会保障：</w:t>
      </w:r>
      <w:r>
        <w:rPr>
          <w:rFonts w:ascii="仿宋" w:hAnsi="仿宋" w:eastAsia="仿宋"/>
          <w:sz w:val="32"/>
          <w:szCs w:val="32"/>
        </w:rPr>
        <w:t>1.生</w:t>
      </w:r>
      <w:r>
        <w:rPr>
          <w:rFonts w:hint="eastAsia" w:ascii="仿宋" w:hAnsi="仿宋" w:eastAsia="仿宋"/>
          <w:sz w:val="32"/>
          <w:szCs w:val="32"/>
        </w:rPr>
        <w:t>产保障，包括提供水利灌溉、道路运输、电力供应、农技推广、病虫害防治等生产性公共产品；</w:t>
      </w:r>
      <w:r>
        <w:rPr>
          <w:rFonts w:ascii="仿宋" w:hAnsi="仿宋" w:eastAsia="仿宋"/>
          <w:sz w:val="32"/>
          <w:szCs w:val="32"/>
        </w:rPr>
        <w:t>2.教育保障，包括</w:t>
      </w:r>
      <w:r>
        <w:rPr>
          <w:rFonts w:hint="eastAsia" w:ascii="仿宋" w:hAnsi="仿宋" w:eastAsia="仿宋"/>
          <w:sz w:val="32"/>
          <w:szCs w:val="32"/>
        </w:rPr>
        <w:t>协助教育部门普及九年义务教育，提高农民的科学文化素质；</w:t>
      </w:r>
      <w:r>
        <w:rPr>
          <w:rFonts w:ascii="仿宋" w:hAnsi="仿宋" w:eastAsia="仿宋"/>
          <w:sz w:val="32"/>
          <w:szCs w:val="32"/>
        </w:rPr>
        <w:t>3.医</w:t>
      </w:r>
      <w:r>
        <w:rPr>
          <w:rFonts w:hint="eastAsia" w:ascii="仿宋" w:hAnsi="仿宋" w:eastAsia="仿宋"/>
          <w:sz w:val="32"/>
          <w:szCs w:val="32"/>
        </w:rPr>
        <w:t>疗保障，包括农村医疗设施、医疗手段的完善和提高，农村医疗保险制度的建立和落实；</w:t>
      </w:r>
      <w:r>
        <w:rPr>
          <w:rFonts w:ascii="仿宋" w:hAnsi="仿宋" w:eastAsia="仿宋"/>
          <w:sz w:val="32"/>
          <w:szCs w:val="32"/>
        </w:rPr>
        <w:t>4.养老保障，包括福利院、敬老院的建</w:t>
      </w:r>
      <w:r>
        <w:rPr>
          <w:rFonts w:hint="eastAsia" w:ascii="仿宋" w:hAnsi="仿宋" w:eastAsia="仿宋"/>
          <w:sz w:val="32"/>
          <w:szCs w:val="32"/>
        </w:rPr>
        <w:t>设，农村养老保险</w:t>
      </w:r>
      <w:r>
        <w:rPr>
          <w:rFonts w:ascii="仿宋" w:hAnsi="仿宋" w:eastAsia="仿宋"/>
          <w:sz w:val="32"/>
          <w:szCs w:val="32"/>
        </w:rPr>
        <w:t>制度的推行；5.生活保障，包括建</w:t>
      </w:r>
      <w:r>
        <w:rPr>
          <w:rFonts w:hint="eastAsia" w:ascii="仿宋" w:hAnsi="仿宋" w:eastAsia="仿宋"/>
          <w:sz w:val="32"/>
          <w:szCs w:val="32"/>
        </w:rPr>
        <w:t>设乡村社会各种生活基础设施，建立农村特困户的救助制度和救助体系；</w:t>
      </w:r>
      <w:r>
        <w:rPr>
          <w:rFonts w:ascii="仿宋" w:hAnsi="仿宋" w:eastAsia="仿宋"/>
          <w:sz w:val="32"/>
          <w:szCs w:val="32"/>
        </w:rPr>
        <w:t>6.生育保障，</w:t>
      </w:r>
      <w:r>
        <w:rPr>
          <w:rFonts w:hint="eastAsia" w:ascii="仿宋" w:hAnsi="仿宋" w:eastAsia="仿宋"/>
          <w:sz w:val="32"/>
          <w:szCs w:val="32"/>
        </w:rPr>
        <w:t>为控制人口数量、提高人口质量提供各种优质服务。</w:t>
      </w:r>
    </w:p>
    <w:p w14:paraId="2C61D5D7">
      <w:pPr>
        <w:ind w:firstLine="560"/>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、基</w:t>
      </w:r>
      <w:r>
        <w:rPr>
          <w:rFonts w:hint="eastAsia" w:ascii="仿宋" w:hAnsi="仿宋" w:eastAsia="仿宋"/>
          <w:sz w:val="32"/>
          <w:szCs w:val="32"/>
        </w:rPr>
        <w:t>层建设职责。</w:t>
      </w:r>
      <w:r>
        <w:rPr>
          <w:rFonts w:ascii="仿宋" w:hAnsi="仿宋" w:eastAsia="仿宋"/>
          <w:sz w:val="32"/>
          <w:szCs w:val="32"/>
        </w:rPr>
        <w:t>1.抓好</w:t>
      </w:r>
      <w:r>
        <w:rPr>
          <w:rFonts w:hint="eastAsia" w:ascii="仿宋" w:hAnsi="仿宋" w:eastAsia="仿宋"/>
          <w:sz w:val="32"/>
          <w:szCs w:val="32"/>
        </w:rPr>
        <w:t>农村党组织建设，包括乡党委、村党支部领导班子的推荐与选配，农村党员的发展和管理，党员干部队伍思想作风建设等；</w:t>
      </w:r>
      <w:r>
        <w:rPr>
          <w:rFonts w:ascii="仿宋" w:hAnsi="仿宋" w:eastAsia="仿宋"/>
          <w:sz w:val="32"/>
          <w:szCs w:val="32"/>
        </w:rPr>
        <w:t>2.抓好村委会班子建</w:t>
      </w:r>
      <w:r>
        <w:rPr>
          <w:rFonts w:hint="eastAsia" w:ascii="仿宋" w:hAnsi="仿宋" w:eastAsia="仿宋"/>
          <w:sz w:val="32"/>
          <w:szCs w:val="32"/>
        </w:rPr>
        <w:t>设，依法指导和帮助组织好乡村基层组织和社区自治，为落实公民在选举、决策、管理和监督等方面的民主权利创造条件；</w:t>
      </w:r>
      <w:r>
        <w:rPr>
          <w:rFonts w:ascii="仿宋" w:hAnsi="仿宋" w:eastAsia="仿宋"/>
          <w:sz w:val="32"/>
          <w:szCs w:val="32"/>
        </w:rPr>
        <w:t>3.抓好</w:t>
      </w:r>
      <w:r>
        <w:rPr>
          <w:rFonts w:hint="eastAsia" w:ascii="仿宋" w:hAnsi="仿宋" w:eastAsia="仿宋"/>
          <w:sz w:val="32"/>
          <w:szCs w:val="32"/>
        </w:rPr>
        <w:t>农村思想建设，加强农村思想政治工作和社会主义精神文明建设，倡导乡村社会文明新风；</w:t>
      </w:r>
      <w:r>
        <w:rPr>
          <w:rFonts w:ascii="仿宋" w:hAnsi="仿宋" w:eastAsia="仿宋"/>
          <w:sz w:val="32"/>
          <w:szCs w:val="32"/>
        </w:rPr>
        <w:t>4.抓好民主集中制建</w:t>
      </w:r>
      <w:r>
        <w:rPr>
          <w:rFonts w:hint="eastAsia" w:ascii="仿宋" w:hAnsi="仿宋" w:eastAsia="仿宋"/>
          <w:sz w:val="32"/>
          <w:szCs w:val="32"/>
        </w:rPr>
        <w:t>设，敞开群众表达意愿的渠道，建立民主决策、科学决策的程序和机制。</w:t>
      </w:r>
    </w:p>
    <w:p w14:paraId="486FB417">
      <w:pPr>
        <w:ind w:firstLine="560"/>
        <w:rPr>
          <w:rFonts w:hint="eastAsia" w:ascii="仿宋" w:hAnsi="仿宋" w:eastAsia="仿宋"/>
          <w:sz w:val="32"/>
          <w:szCs w:val="32"/>
        </w:rPr>
      </w:pPr>
      <w:r>
        <w:rPr>
          <w:rFonts w:hint="eastAsia" w:ascii="仿宋" w:hAnsi="仿宋" w:eastAsia="仿宋"/>
          <w:sz w:val="32"/>
          <w:szCs w:val="32"/>
        </w:rPr>
        <w:t xml:space="preserve"> </w:t>
      </w:r>
    </w:p>
    <w:p w14:paraId="7F1EA19E">
      <w:pPr>
        <w:ind w:firstLine="560"/>
        <w:rPr>
          <w:rFonts w:hint="eastAsia" w:ascii="仿宋" w:hAnsi="仿宋" w:eastAsia="仿宋"/>
          <w:sz w:val="32"/>
          <w:szCs w:val="32"/>
        </w:rPr>
      </w:pPr>
    </w:p>
    <w:p w14:paraId="2CFA8470">
      <w:pPr>
        <w:ind w:firstLine="560"/>
        <w:rPr>
          <w:rFonts w:hint="eastAsia" w:ascii="仿宋" w:hAnsi="仿宋" w:eastAsia="仿宋"/>
          <w:sz w:val="32"/>
          <w:szCs w:val="32"/>
        </w:rPr>
      </w:pPr>
      <w:r>
        <w:rPr>
          <w:rFonts w:hint="eastAsia" w:ascii="仿宋" w:hAnsi="仿宋" w:eastAsia="仿宋"/>
          <w:b/>
          <w:bCs/>
          <w:sz w:val="32"/>
          <w:szCs w:val="32"/>
        </w:rPr>
        <w:t>实现年度发展规划目标的保障措施</w:t>
      </w:r>
    </w:p>
    <w:p w14:paraId="674B9E23">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继续抓好项目建设，提升经济发展核心动力；</w:t>
      </w:r>
    </w:p>
    <w:p w14:paraId="4CB836AC">
      <w:pPr>
        <w:ind w:firstLine="56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积极发展现代特色农业，推进社会主义新农村建设；</w:t>
      </w:r>
    </w:p>
    <w:p w14:paraId="344841E1">
      <w:pPr>
        <w:ind w:firstLine="560"/>
        <w:rPr>
          <w:rFonts w:ascii="仿宋" w:hAnsi="仿宋" w:eastAsia="仿宋"/>
          <w:sz w:val="32"/>
          <w:szCs w:val="32"/>
        </w:rPr>
      </w:pPr>
      <w:r>
        <w:rPr>
          <w:rFonts w:ascii="仿宋" w:hAnsi="仿宋" w:eastAsia="仿宋"/>
          <w:sz w:val="32"/>
          <w:szCs w:val="32"/>
        </w:rPr>
        <w:t>3.以培植</w:t>
      </w:r>
      <w:r>
        <w:rPr>
          <w:rFonts w:hint="eastAsia" w:ascii="仿宋" w:hAnsi="仿宋" w:eastAsia="仿宋"/>
          <w:sz w:val="32"/>
          <w:szCs w:val="32"/>
        </w:rPr>
        <w:t>财源为重点，着力抓好财税工作；</w:t>
      </w:r>
    </w:p>
    <w:p w14:paraId="3C662986">
      <w:pPr>
        <w:ind w:firstLine="560"/>
        <w:rPr>
          <w:rFonts w:hint="eastAsia" w:ascii="仿宋" w:hAnsi="仿宋" w:eastAsia="仿宋"/>
          <w:sz w:val="32"/>
          <w:szCs w:val="32"/>
        </w:rPr>
      </w:pPr>
      <w:r>
        <w:rPr>
          <w:rFonts w:ascii="仿宋" w:hAnsi="仿宋" w:eastAsia="仿宋"/>
          <w:sz w:val="32"/>
          <w:szCs w:val="32"/>
        </w:rPr>
        <w:t>4.加快社</w:t>
      </w:r>
      <w:r>
        <w:rPr>
          <w:rFonts w:hint="eastAsia" w:ascii="仿宋" w:hAnsi="仿宋" w:eastAsia="仿宋"/>
          <w:sz w:val="32"/>
          <w:szCs w:val="32"/>
        </w:rPr>
        <w:t>会各项事业发展，努力构建和谐社会。</w:t>
      </w:r>
    </w:p>
    <w:p w14:paraId="644A64D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3" w:firstLineChars="200"/>
        <w:rPr>
          <w:rFonts w:hint="eastAsia" w:ascii="仿宋" w:hAnsi="仿宋" w:eastAsia="仿宋" w:cs="仿宋"/>
          <w:b/>
          <w:sz w:val="32"/>
          <w:szCs w:val="32"/>
        </w:rPr>
      </w:pPr>
    </w:p>
    <w:p w14:paraId="7BDCD8C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3" w:firstLineChars="200"/>
        <w:rPr>
          <w:rFonts w:hint="eastAsia" w:ascii="仿宋" w:hAnsi="仿宋" w:eastAsia="仿宋" w:cs="仿宋"/>
          <w:b/>
          <w:sz w:val="32"/>
          <w:szCs w:val="32"/>
        </w:rPr>
      </w:pPr>
    </w:p>
    <w:p w14:paraId="2FF4197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3" w:firstLineChars="200"/>
        <w:rPr>
          <w:rFonts w:hint="eastAsia" w:ascii="仿宋" w:hAnsi="仿宋" w:eastAsia="仿宋" w:cs="仿宋"/>
          <w:b/>
          <w:sz w:val="32"/>
          <w:szCs w:val="32"/>
        </w:rPr>
      </w:pPr>
      <w:r>
        <w:rPr>
          <w:rFonts w:hint="eastAsia" w:ascii="仿宋" w:hAnsi="仿宋" w:eastAsia="仿宋" w:cs="仿宋"/>
          <w:b/>
          <w:sz w:val="32"/>
          <w:szCs w:val="32"/>
        </w:rPr>
        <w:t>预算项目绩效目标</w:t>
      </w:r>
    </w:p>
    <w:p w14:paraId="5F831C36">
      <w:pPr>
        <w:numPr>
          <w:ilvl w:val="0"/>
          <w:numId w:val="2"/>
        </w:numPr>
        <w:ind w:firstLine="560" w:firstLineChars="200"/>
        <w:jc w:val="left"/>
        <w:outlineLvl w:val="1"/>
        <w:rPr>
          <w:rFonts w:hint="eastAsia" w:ascii="方正仿宋_GBK" w:eastAsia="方正仿宋_GBK"/>
          <w:b/>
          <w:sz w:val="28"/>
        </w:rPr>
      </w:pPr>
      <w:r>
        <w:rPr>
          <w:rFonts w:hint="eastAsia" w:ascii="方正仿宋_GBK" w:eastAsia="方正仿宋_GBK"/>
          <w:b/>
          <w:sz w:val="28"/>
        </w:rPr>
        <w:t>大气污染防治绩效目标表</w:t>
      </w:r>
    </w:p>
    <w:p w14:paraId="466835D2">
      <w:pPr>
        <w:jc w:val="left"/>
        <w:outlineLvl w:val="1"/>
        <w:rPr>
          <w:rFonts w:hint="eastAsia" w:ascii="方正仿宋_GBK" w:eastAsia="方正仿宋_GBK"/>
          <w:b/>
          <w:sz w:val="28"/>
        </w:rPr>
      </w:pPr>
    </w:p>
    <w:p w14:paraId="4F47CF47">
      <w:pPr>
        <w:jc w:val="center"/>
        <w:outlineLvl w:val="1"/>
        <w:rPr>
          <w:rFonts w:hint="eastAsia"/>
        </w:rPr>
      </w:pPr>
      <w:r>
        <w:rPr>
          <w:rFonts w:hint="eastAsia"/>
        </w:rPr>
        <w:drawing>
          <wp:inline distT="0" distB="0" distL="114300" distR="114300">
            <wp:extent cx="5706110" cy="2979420"/>
            <wp:effectExtent l="0" t="0" r="8890" b="11430"/>
            <wp:docPr id="1" name="图片 2" descr="微信图片_20200223091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微信图片_20200223091712"/>
                    <pic:cNvPicPr>
                      <a:picLocks noChangeAspect="1"/>
                    </pic:cNvPicPr>
                  </pic:nvPicPr>
                  <pic:blipFill>
                    <a:blip r:embed="rId5"/>
                    <a:stretch>
                      <a:fillRect/>
                    </a:stretch>
                  </pic:blipFill>
                  <pic:spPr>
                    <a:xfrm>
                      <a:off x="0" y="0"/>
                      <a:ext cx="5706110" cy="2979420"/>
                    </a:xfrm>
                    <a:prstGeom prst="rect">
                      <a:avLst/>
                    </a:prstGeom>
                    <a:noFill/>
                    <a:ln>
                      <a:noFill/>
                    </a:ln>
                  </pic:spPr>
                </pic:pic>
              </a:graphicData>
            </a:graphic>
          </wp:inline>
        </w:drawing>
      </w:r>
    </w:p>
    <w:p w14:paraId="66914A67">
      <w:pPr>
        <w:jc w:val="left"/>
        <w:outlineLvl w:val="1"/>
      </w:pPr>
    </w:p>
    <w:p w14:paraId="088EEEAE">
      <w:pPr>
        <w:jc w:val="left"/>
        <w:outlineLvl w:val="1"/>
      </w:pPr>
    </w:p>
    <w:p w14:paraId="2AAA1CE9">
      <w:pPr>
        <w:jc w:val="left"/>
        <w:outlineLvl w:val="1"/>
      </w:pPr>
    </w:p>
    <w:p w14:paraId="1A9294B3">
      <w:pPr>
        <w:jc w:val="left"/>
        <w:outlineLvl w:val="1"/>
      </w:pPr>
    </w:p>
    <w:p w14:paraId="2ED4A8C2">
      <w:pPr>
        <w:jc w:val="left"/>
        <w:outlineLvl w:val="1"/>
      </w:pPr>
    </w:p>
    <w:p w14:paraId="6D6D7DB2">
      <w:pPr>
        <w:jc w:val="left"/>
        <w:outlineLvl w:val="1"/>
      </w:pPr>
    </w:p>
    <w:p w14:paraId="2C09BB2D">
      <w:pPr>
        <w:jc w:val="left"/>
        <w:outlineLvl w:val="1"/>
      </w:pPr>
    </w:p>
    <w:p w14:paraId="1F784D58">
      <w:pPr>
        <w:jc w:val="center"/>
        <w:rPr>
          <w:rFonts w:hAnsi="宋体"/>
        </w:rPr>
      </w:pPr>
      <w:r>
        <w:rPr>
          <w:rFonts w:ascii="方正书宋_GBK" w:eastAsia="方正书宋_GBK"/>
        </w:rPr>
        <w:t xml:space="preserve"> </w:t>
      </w:r>
    </w:p>
    <w:p w14:paraId="5C0D0DA2">
      <w:pPr>
        <w:ind w:firstLine="560" w:firstLineChars="200"/>
        <w:jc w:val="left"/>
        <w:outlineLvl w:val="1"/>
        <w:rPr>
          <w:rFonts w:hint="eastAsia" w:ascii="方正仿宋_GBK" w:eastAsia="方正仿宋_GBK"/>
          <w:b/>
          <w:sz w:val="28"/>
        </w:rPr>
      </w:pPr>
    </w:p>
    <w:p w14:paraId="6A502B46">
      <w:pPr>
        <w:ind w:firstLine="560" w:firstLineChars="200"/>
        <w:jc w:val="left"/>
        <w:outlineLvl w:val="1"/>
        <w:rPr>
          <w:rFonts w:hint="eastAsia" w:ascii="方正仿宋_GBK" w:eastAsia="方正仿宋_GBK"/>
          <w:b/>
          <w:sz w:val="28"/>
        </w:rPr>
      </w:pPr>
      <w:r>
        <w:rPr>
          <w:rFonts w:hint="eastAsia" w:ascii="方正仿宋_GBK" w:eastAsia="方正仿宋_GBK"/>
          <w:b/>
          <w:sz w:val="28"/>
        </w:rPr>
        <w:t>2、乡村道路建设绩效目标表</w:t>
      </w:r>
    </w:p>
    <w:p w14:paraId="79BEAFDC">
      <w:pPr>
        <w:jc w:val="left"/>
        <w:outlineLvl w:val="1"/>
        <w:rPr>
          <w:rFonts w:hint="eastAsia" w:ascii="方正仿宋_GBK" w:eastAsia="方正仿宋_GBK"/>
          <w:b/>
          <w:sz w:val="28"/>
        </w:rPr>
      </w:pPr>
    </w:p>
    <w:p w14:paraId="49F03692">
      <w:pPr>
        <w:jc w:val="left"/>
        <w:outlineLvl w:val="1"/>
        <w:rPr>
          <w:rFonts w:hint="eastAsia"/>
        </w:rPr>
      </w:pPr>
      <w:r>
        <w:rPr>
          <w:rFonts w:hint="eastAsia"/>
        </w:rPr>
        <w:drawing>
          <wp:inline distT="0" distB="0" distL="114300" distR="114300">
            <wp:extent cx="5730875" cy="2707640"/>
            <wp:effectExtent l="0" t="0" r="3175" b="16510"/>
            <wp:docPr id="2" name="图片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7" descr="2"/>
                    <pic:cNvPicPr>
                      <a:picLocks noChangeAspect="1"/>
                    </pic:cNvPicPr>
                  </pic:nvPicPr>
                  <pic:blipFill>
                    <a:blip r:embed="rId6"/>
                    <a:stretch>
                      <a:fillRect/>
                    </a:stretch>
                  </pic:blipFill>
                  <pic:spPr>
                    <a:xfrm>
                      <a:off x="0" y="0"/>
                      <a:ext cx="5730875" cy="2707640"/>
                    </a:xfrm>
                    <a:prstGeom prst="rect">
                      <a:avLst/>
                    </a:prstGeom>
                    <a:noFill/>
                    <a:ln>
                      <a:noFill/>
                    </a:ln>
                  </pic:spPr>
                </pic:pic>
              </a:graphicData>
            </a:graphic>
          </wp:inline>
        </w:drawing>
      </w:r>
    </w:p>
    <w:p w14:paraId="2FC1743D">
      <w:pPr>
        <w:jc w:val="left"/>
        <w:outlineLvl w:val="1"/>
      </w:pPr>
    </w:p>
    <w:p w14:paraId="78AF48C2">
      <w:pPr>
        <w:jc w:val="left"/>
        <w:outlineLvl w:val="1"/>
      </w:pPr>
    </w:p>
    <w:p w14:paraId="34A553CB">
      <w:pPr>
        <w:jc w:val="left"/>
        <w:outlineLvl w:val="1"/>
        <w:rPr>
          <w:rFonts w:hAnsi="宋体"/>
          <w:b/>
          <w:sz w:val="28"/>
        </w:rPr>
      </w:pPr>
      <w:r>
        <w:drawing>
          <wp:inline distT="0" distB="0" distL="114300" distR="114300">
            <wp:extent cx="5727700" cy="2722245"/>
            <wp:effectExtent l="0" t="0" r="6350" b="1905"/>
            <wp:docPr id="3"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2"/>
                    <pic:cNvPicPr>
                      <a:picLocks noChangeAspect="1"/>
                    </pic:cNvPicPr>
                  </pic:nvPicPr>
                  <pic:blipFill>
                    <a:blip r:embed="rId7"/>
                    <a:stretch>
                      <a:fillRect/>
                    </a:stretch>
                  </pic:blipFill>
                  <pic:spPr>
                    <a:xfrm>
                      <a:off x="0" y="0"/>
                      <a:ext cx="5727700" cy="2722245"/>
                    </a:xfrm>
                    <a:prstGeom prst="rect">
                      <a:avLst/>
                    </a:prstGeom>
                    <a:noFill/>
                    <a:ln>
                      <a:noFill/>
                    </a:ln>
                  </pic:spPr>
                </pic:pic>
              </a:graphicData>
            </a:graphic>
          </wp:inline>
        </w:drawing>
      </w:r>
      <w:r>
        <w:drawing>
          <wp:inline distT="0" distB="0" distL="114300" distR="114300">
            <wp:extent cx="5727700" cy="2722245"/>
            <wp:effectExtent l="0" t="0" r="6350" b="1905"/>
            <wp:docPr id="4"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2"/>
                    <pic:cNvPicPr>
                      <a:picLocks noChangeAspect="1"/>
                    </pic:cNvPicPr>
                  </pic:nvPicPr>
                  <pic:blipFill>
                    <a:blip r:embed="rId7"/>
                    <a:stretch>
                      <a:fillRect/>
                    </a:stretch>
                  </pic:blipFill>
                  <pic:spPr>
                    <a:xfrm>
                      <a:off x="0" y="0"/>
                      <a:ext cx="5727700" cy="2722245"/>
                    </a:xfrm>
                    <a:prstGeom prst="rect">
                      <a:avLst/>
                    </a:prstGeom>
                    <a:noFill/>
                    <a:ln>
                      <a:noFill/>
                    </a:ln>
                  </pic:spPr>
                </pic:pic>
              </a:graphicData>
            </a:graphic>
          </wp:inline>
        </w:drawing>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0" w:name="_Toc29484636"/>
      <w:r>
        <w:rPr>
          <w:rFonts w:hint="eastAsia" w:ascii="方正仿宋_GBK" w:eastAsia="方正仿宋_GBK"/>
          <w:b/>
          <w:sz w:val="28"/>
        </w:rPr>
        <w:instrText xml:space="preserve">5、河北人大历史陈列馆建设及办公用房修缮资金（预内基建）绩效目标表</w:instrText>
      </w:r>
      <w:bookmarkEnd w:id="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0DC84179">
      <w:pPr>
        <w:spacing w:line="14" w:lineRule="exact"/>
        <w:ind w:firstLine="420" w:firstLineChars="200"/>
        <w:jc w:val="center"/>
        <w:rPr>
          <w:rFonts w:hAnsi="宋体"/>
          <w:bCs/>
        </w:rPr>
      </w:pPr>
      <w:r>
        <w:rPr>
          <w:rFonts w:ascii="方正书宋_GBK" w:eastAsia="方正书宋_GBK"/>
          <w:bCs/>
        </w:rPr>
        <w:t xml:space="preserve"> </w:t>
      </w:r>
    </w:p>
    <w:p w14:paraId="5F738937">
      <w:pPr>
        <w:ind w:left="420" w:leftChars="200"/>
        <w:jc w:val="left"/>
        <w:outlineLvl w:val="1"/>
        <w:rPr>
          <w:rFonts w:hint="eastAsia" w:ascii="方正仿宋_GBK" w:eastAsia="方正仿宋_GBK"/>
          <w:b/>
          <w:sz w:val="28"/>
        </w:rPr>
      </w:pPr>
      <w:r>
        <w:rPr>
          <w:rFonts w:hint="eastAsia" w:ascii="方正仿宋_GBK" w:eastAsia="方正仿宋_GBK"/>
          <w:b/>
          <w:sz w:val="28"/>
        </w:rPr>
        <w:t>3、农村环境治理绩效目标表</w:t>
      </w:r>
    </w:p>
    <w:p w14:paraId="2C3C4CC7">
      <w:pPr>
        <w:ind w:left="420" w:leftChars="200"/>
        <w:jc w:val="left"/>
        <w:outlineLvl w:val="1"/>
        <w:rPr>
          <w:rFonts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29484638"/>
      <w:r>
        <w:rPr>
          <w:rFonts w:hint="eastAsia" w:ascii="方正仿宋_GBK" w:eastAsia="方正仿宋_GBK"/>
          <w:b/>
          <w:sz w:val="28"/>
        </w:rPr>
        <w:instrText xml:space="preserve">7、人大代表培训费绩效目标表</w:instrText>
      </w:r>
      <w:bookmarkEnd w:id="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71872541">
      <w:pPr>
        <w:spacing w:line="14" w:lineRule="exact"/>
        <w:ind w:firstLine="420" w:firstLineChars="200"/>
        <w:jc w:val="center"/>
        <w:rPr>
          <w:rFonts w:hAnsi="宋体"/>
          <w:bCs/>
        </w:rPr>
      </w:pPr>
      <w:r>
        <w:rPr>
          <w:rFonts w:ascii="方正书宋_GBK" w:eastAsia="方正书宋_GBK"/>
          <w:bCs/>
        </w:rPr>
        <w:t xml:space="preserve"> </w:t>
      </w:r>
    </w:p>
    <w:p w14:paraId="5EFC3392">
      <w:pPr>
        <w:jc w:val="center"/>
        <w:outlineLvl w:val="1"/>
        <w:rPr>
          <w:rFonts w:hint="eastAsia" w:ascii="方正仿宋_GBK" w:eastAsia="方正仿宋_GBK"/>
          <w:b/>
          <w:sz w:val="28"/>
        </w:rPr>
      </w:pPr>
      <w:r>
        <w:rPr>
          <w:rFonts w:hint="eastAsia" w:ascii="方正仿宋_GBK" w:eastAsia="方正仿宋_GBK"/>
          <w:b/>
          <w:sz w:val="28"/>
        </w:rPr>
        <w:drawing>
          <wp:inline distT="0" distB="0" distL="114300" distR="114300">
            <wp:extent cx="5732145" cy="2320925"/>
            <wp:effectExtent l="0" t="0" r="1905" b="3175"/>
            <wp:docPr id="5" name="图片 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3"/>
                    <pic:cNvPicPr>
                      <a:picLocks noChangeAspect="1"/>
                    </pic:cNvPicPr>
                  </pic:nvPicPr>
                  <pic:blipFill>
                    <a:blip r:embed="rId8"/>
                    <a:stretch>
                      <a:fillRect/>
                    </a:stretch>
                  </pic:blipFill>
                  <pic:spPr>
                    <a:xfrm>
                      <a:off x="0" y="0"/>
                      <a:ext cx="5732145" cy="2320925"/>
                    </a:xfrm>
                    <a:prstGeom prst="rect">
                      <a:avLst/>
                    </a:prstGeom>
                    <a:noFill/>
                    <a:ln>
                      <a:noFill/>
                    </a:ln>
                  </pic:spPr>
                </pic:pic>
              </a:graphicData>
            </a:graphic>
          </wp:inline>
        </w:drawing>
      </w:r>
    </w:p>
    <w:p w14:paraId="1FDBF295">
      <w:pPr>
        <w:ind w:firstLine="280" w:firstLineChars="100"/>
        <w:jc w:val="left"/>
        <w:outlineLvl w:val="1"/>
        <w:rPr>
          <w:rFonts w:hint="eastAsia" w:ascii="方正仿宋_GBK" w:eastAsia="方正仿宋_GBK"/>
          <w:b/>
          <w:sz w:val="28"/>
        </w:rPr>
      </w:pPr>
    </w:p>
    <w:p w14:paraId="0246165C">
      <w:pPr>
        <w:spacing w:line="300" w:lineRule="exact"/>
        <w:jc w:val="left"/>
        <w:sectPr>
          <w:footerReference r:id="rId3" w:type="default"/>
          <w:pgSz w:w="11907" w:h="16839" w:orient="landscape"/>
          <w:pgMar w:top="1746" w:right="1440" w:bottom="1463" w:left="1440" w:header="851" w:footer="992" w:gutter="0"/>
          <w:cols w:space="720" w:num="1"/>
          <w:docGrid w:type="lines" w:linePitch="312" w:charSpace="0"/>
        </w:sectPr>
      </w:pPr>
    </w:p>
    <w:p w14:paraId="6FC4F396">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14:paraId="7C1C9878">
      <w:pPr>
        <w:ind w:firstLine="645"/>
        <w:outlineLvl w:val="0"/>
        <w:rPr>
          <w:rFonts w:hint="eastAsia" w:ascii="仿宋" w:hAnsi="仿宋" w:eastAsia="仿宋"/>
          <w:sz w:val="32"/>
        </w:rPr>
      </w:pPr>
      <w:bookmarkStart w:id="2" w:name="_Toc471398468"/>
      <w:r>
        <w:rPr>
          <w:rFonts w:hint="eastAsia" w:ascii="仿宋" w:hAnsi="仿宋" w:eastAsia="仿宋"/>
          <w:sz w:val="32"/>
          <w:szCs w:val="32"/>
        </w:rPr>
        <w:t>认真贯彻&lt;&lt;中华人民共和国政府采购法&gt;&gt;和 &lt;&lt;中华人民共和国招标投标法&gt;&gt;等法律法规，</w:t>
      </w:r>
      <w:r>
        <w:rPr>
          <w:rFonts w:hint="eastAsia" w:ascii="仿宋" w:hAnsi="仿宋" w:eastAsia="仿宋"/>
          <w:sz w:val="32"/>
        </w:rPr>
        <w:t>2020年我单位没有安排政府采购预算，政府采购预算金额为0万元。</w:t>
      </w:r>
      <w:bookmarkEnd w:id="2"/>
    </w:p>
    <w:p w14:paraId="5027438D">
      <w:pPr>
        <w:jc w:val="center"/>
        <w:outlineLvl w:val="0"/>
        <w:rPr>
          <w:rFonts w:ascii="仿宋_GB2312" w:hAnsi="黑体" w:eastAsia="仿宋_GB2312"/>
          <w:sz w:val="32"/>
          <w:szCs w:val="32"/>
        </w:rPr>
      </w:pPr>
      <w:r>
        <w:rPr>
          <w:rFonts w:hint="eastAsia" w:ascii="方正小标宋_GBK" w:eastAsia="方正小标宋_GBK"/>
          <w:sz w:val="32"/>
        </w:rPr>
        <w:t>政府采购预算情况表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14:paraId="46EF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6844" w:type="dxa"/>
            <w:gridSpan w:val="7"/>
            <w:tcBorders>
              <w:top w:val="single" w:color="FFFFFF" w:sz="6" w:space="0"/>
              <w:left w:val="single" w:color="FFFFFF" w:sz="6" w:space="0"/>
              <w:bottom w:val="single" w:color="000000" w:sz="6" w:space="0"/>
              <w:right w:val="single" w:color="FFFFFF" w:sz="6" w:space="0"/>
            </w:tcBorders>
            <w:noWrap w:val="0"/>
            <w:vAlign w:val="center"/>
          </w:tcPr>
          <w:p w14:paraId="781FF303">
            <w:pPr>
              <w:spacing w:line="300" w:lineRule="exact"/>
              <w:jc w:val="center"/>
              <w:rPr>
                <w:rFonts w:hint="eastAsia" w:ascii="方正书宋_GBK" w:eastAsia="方正书宋_GBK"/>
                <w:b/>
              </w:rPr>
            </w:pPr>
            <w:r>
              <w:rPr>
                <w:rFonts w:hint="eastAsia" w:ascii="方正书宋_GBK" w:eastAsia="方正书宋_GBK"/>
                <w:b/>
              </w:rPr>
              <w:t>905深泽县白庄乡人民政府</w:t>
            </w:r>
          </w:p>
        </w:tc>
        <w:tc>
          <w:tcPr>
            <w:tcW w:w="6585" w:type="dxa"/>
            <w:gridSpan w:val="7"/>
            <w:tcBorders>
              <w:top w:val="single" w:color="FFFFFF" w:sz="6" w:space="0"/>
              <w:left w:val="single" w:color="FFFFFF" w:sz="6" w:space="0"/>
              <w:bottom w:val="single" w:color="000000" w:sz="6" w:space="0"/>
              <w:right w:val="single" w:color="FFFFFF" w:sz="6" w:space="0"/>
            </w:tcBorders>
            <w:noWrap w:val="0"/>
            <w:vAlign w:val="center"/>
          </w:tcPr>
          <w:p w14:paraId="6AB48C47">
            <w:pPr>
              <w:spacing w:line="300" w:lineRule="exact"/>
              <w:jc w:val="center"/>
              <w:rPr>
                <w:rFonts w:ascii="方正书宋_GBK" w:eastAsia="方正书宋_GBK"/>
                <w:b/>
              </w:rPr>
            </w:pPr>
            <w:r>
              <w:rPr>
                <w:rFonts w:hint="eastAsia" w:ascii="方正书宋_GBK" w:eastAsia="方正书宋_GBK"/>
                <w:b/>
              </w:rPr>
              <w:t>单位：万元</w:t>
            </w:r>
          </w:p>
        </w:tc>
      </w:tr>
      <w:tr w14:paraId="0A98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2385" w:type="dxa"/>
            <w:gridSpan w:val="2"/>
            <w:tcBorders>
              <w:top w:val="single" w:color="000000" w:sz="6" w:space="0"/>
              <w:left w:val="single" w:color="000000" w:sz="6" w:space="0"/>
              <w:bottom w:val="single" w:color="000000" w:sz="6" w:space="0"/>
              <w:right w:val="single" w:color="000000" w:sz="6" w:space="0"/>
            </w:tcBorders>
            <w:noWrap w:val="0"/>
            <w:vAlign w:val="center"/>
          </w:tcPr>
          <w:p w14:paraId="13F98B45">
            <w:pPr>
              <w:spacing w:line="300" w:lineRule="exact"/>
              <w:jc w:val="center"/>
              <w:rPr>
                <w:rFonts w:ascii="方正书宋_GBK" w:eastAsia="方正书宋_GBK"/>
                <w:b/>
              </w:rPr>
            </w:pPr>
            <w:r>
              <w:rPr>
                <w:rFonts w:hint="eastAsia" w:ascii="方正书宋_GBK" w:eastAsia="方正书宋_GBK"/>
                <w:b/>
              </w:rPr>
              <w:t>政府采购项目来源</w:t>
            </w:r>
          </w:p>
        </w:tc>
        <w:tc>
          <w:tcPr>
            <w:tcW w:w="1095" w:type="dxa"/>
            <w:vMerge w:val="restart"/>
            <w:tcBorders>
              <w:top w:val="single" w:color="000000" w:sz="6" w:space="0"/>
              <w:left w:val="single" w:color="000000" w:sz="6" w:space="0"/>
              <w:bottom w:val="single" w:color="000000" w:sz="6" w:space="0"/>
              <w:right w:val="single" w:color="000000" w:sz="6" w:space="0"/>
            </w:tcBorders>
            <w:noWrap w:val="0"/>
            <w:vAlign w:val="center"/>
          </w:tcPr>
          <w:p w14:paraId="5649FF6A">
            <w:pPr>
              <w:spacing w:line="300" w:lineRule="exact"/>
              <w:jc w:val="center"/>
              <w:rPr>
                <w:rFonts w:ascii="方正书宋_GBK" w:eastAsia="方正书宋_GBK"/>
                <w:b/>
              </w:rPr>
            </w:pPr>
            <w:r>
              <w:rPr>
                <w:rFonts w:hint="eastAsia" w:ascii="方正书宋_GBK" w:eastAsia="方正书宋_GBK"/>
                <w:b/>
              </w:rPr>
              <w:t>采购物品名称</w:t>
            </w:r>
          </w:p>
        </w:tc>
        <w:tc>
          <w:tcPr>
            <w:tcW w:w="1155" w:type="dxa"/>
            <w:vMerge w:val="restart"/>
            <w:tcBorders>
              <w:top w:val="single" w:color="000000" w:sz="6" w:space="0"/>
              <w:left w:val="single" w:color="000000" w:sz="6" w:space="0"/>
              <w:bottom w:val="single" w:color="000000" w:sz="6" w:space="0"/>
              <w:right w:val="single" w:color="000000" w:sz="6" w:space="0"/>
            </w:tcBorders>
            <w:noWrap w:val="0"/>
            <w:vAlign w:val="center"/>
          </w:tcPr>
          <w:p w14:paraId="604D340F">
            <w:pPr>
              <w:spacing w:line="300" w:lineRule="exact"/>
              <w:jc w:val="center"/>
              <w:rPr>
                <w:rFonts w:ascii="方正书宋_GBK" w:eastAsia="方正书宋_GBK"/>
                <w:b/>
              </w:rPr>
            </w:pPr>
            <w:r>
              <w:rPr>
                <w:rFonts w:hint="eastAsia" w:ascii="方正书宋_GBK" w:eastAsia="方正书宋_GBK"/>
                <w:b/>
              </w:rPr>
              <w:t>政府采购</w:t>
            </w:r>
          </w:p>
        </w:tc>
        <w:tc>
          <w:tcPr>
            <w:tcW w:w="675" w:type="dxa"/>
            <w:vMerge w:val="restart"/>
            <w:tcBorders>
              <w:top w:val="single" w:color="000000" w:sz="6" w:space="0"/>
              <w:left w:val="single" w:color="000000" w:sz="6" w:space="0"/>
              <w:bottom w:val="single" w:color="000000" w:sz="6" w:space="0"/>
              <w:right w:val="single" w:color="000000" w:sz="6" w:space="0"/>
            </w:tcBorders>
            <w:noWrap w:val="0"/>
            <w:vAlign w:val="center"/>
          </w:tcPr>
          <w:p w14:paraId="5B0261F2">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49" w:type="dxa"/>
            <w:vMerge w:val="restart"/>
            <w:tcBorders>
              <w:top w:val="single" w:color="000000" w:sz="6" w:space="0"/>
              <w:left w:val="single" w:color="000000" w:sz="6" w:space="0"/>
              <w:bottom w:val="single" w:color="000000" w:sz="6" w:space="0"/>
              <w:right w:val="single" w:color="000000" w:sz="6" w:space="0"/>
            </w:tcBorders>
            <w:noWrap w:val="0"/>
            <w:vAlign w:val="center"/>
          </w:tcPr>
          <w:p w14:paraId="7DD97CC9">
            <w:pPr>
              <w:spacing w:line="300" w:lineRule="exact"/>
              <w:jc w:val="center"/>
              <w:rPr>
                <w:rFonts w:ascii="方正书宋_GBK" w:eastAsia="方正书宋_GBK"/>
                <w:b/>
              </w:rPr>
            </w:pPr>
            <w:r>
              <w:rPr>
                <w:rFonts w:hint="eastAsia" w:ascii="方正书宋_GBK" w:eastAsia="方正书宋_GBK"/>
                <w:b/>
              </w:rPr>
              <w:t>数量</w:t>
            </w:r>
          </w:p>
        </w:tc>
        <w:tc>
          <w:tcPr>
            <w:tcW w:w="885" w:type="dxa"/>
            <w:vMerge w:val="restart"/>
            <w:tcBorders>
              <w:top w:val="single" w:color="000000" w:sz="6" w:space="0"/>
              <w:left w:val="single" w:color="000000" w:sz="6" w:space="0"/>
              <w:bottom w:val="single" w:color="000000" w:sz="6" w:space="0"/>
              <w:right w:val="single" w:color="000000" w:sz="6" w:space="0"/>
            </w:tcBorders>
            <w:noWrap w:val="0"/>
            <w:vAlign w:val="center"/>
          </w:tcPr>
          <w:p w14:paraId="0C745EF9">
            <w:pPr>
              <w:spacing w:line="300" w:lineRule="exact"/>
              <w:jc w:val="center"/>
              <w:rPr>
                <w:rFonts w:ascii="方正书宋_GBK" w:eastAsia="方正书宋_GBK"/>
                <w:b/>
              </w:rPr>
            </w:pPr>
            <w:r>
              <w:rPr>
                <w:rFonts w:hint="eastAsia" w:ascii="方正书宋_GBK" w:eastAsia="方正书宋_GBK"/>
                <w:b/>
              </w:rPr>
              <w:t>单价</w:t>
            </w:r>
          </w:p>
        </w:tc>
        <w:tc>
          <w:tcPr>
            <w:tcW w:w="6585" w:type="dxa"/>
            <w:gridSpan w:val="7"/>
            <w:tcBorders>
              <w:top w:val="single" w:color="000000" w:sz="6" w:space="0"/>
              <w:left w:val="single" w:color="000000" w:sz="6" w:space="0"/>
              <w:bottom w:val="single" w:color="000000" w:sz="6" w:space="0"/>
              <w:right w:val="single" w:color="000000" w:sz="6" w:space="0"/>
            </w:tcBorders>
            <w:noWrap w:val="0"/>
            <w:vAlign w:val="center"/>
          </w:tcPr>
          <w:p w14:paraId="20EE8232">
            <w:pPr>
              <w:spacing w:line="300" w:lineRule="exact"/>
              <w:jc w:val="center"/>
              <w:rPr>
                <w:rFonts w:ascii="方正书宋_GBK" w:eastAsia="方正书宋_GBK"/>
                <w:b/>
              </w:rPr>
            </w:pPr>
            <w:r>
              <w:rPr>
                <w:rFonts w:hint="eastAsia" w:ascii="方正书宋_GBK" w:eastAsia="方正书宋_GBK"/>
                <w:b/>
              </w:rPr>
              <w:t>政府采购金额</w:t>
            </w:r>
          </w:p>
        </w:tc>
      </w:tr>
      <w:tr w14:paraId="2102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1585" w:type="dxa"/>
            <w:vMerge w:val="restart"/>
            <w:tcBorders>
              <w:top w:val="single" w:color="000000" w:sz="6" w:space="0"/>
              <w:left w:val="single" w:color="000000" w:sz="6" w:space="0"/>
              <w:bottom w:val="single" w:color="000000" w:sz="6" w:space="0"/>
              <w:right w:val="single" w:color="000000" w:sz="6" w:space="0"/>
            </w:tcBorders>
            <w:noWrap w:val="0"/>
            <w:vAlign w:val="center"/>
          </w:tcPr>
          <w:p w14:paraId="3DF21076">
            <w:pPr>
              <w:spacing w:line="300" w:lineRule="exact"/>
              <w:jc w:val="center"/>
              <w:rPr>
                <w:rFonts w:ascii="方正书宋_GBK" w:eastAsia="方正书宋_GBK"/>
                <w:b/>
              </w:rPr>
            </w:pPr>
            <w:r>
              <w:rPr>
                <w:rFonts w:hint="eastAsia" w:ascii="方正书宋_GBK" w:eastAsia="方正书宋_GBK"/>
                <w:b/>
              </w:rPr>
              <w:t>项目名称</w:t>
            </w:r>
          </w:p>
        </w:tc>
        <w:tc>
          <w:tcPr>
            <w:tcW w:w="800" w:type="dxa"/>
            <w:vMerge w:val="restart"/>
            <w:tcBorders>
              <w:top w:val="single" w:color="000000" w:sz="6" w:space="0"/>
              <w:left w:val="single" w:color="000000" w:sz="6" w:space="0"/>
              <w:bottom w:val="single" w:color="000000" w:sz="6" w:space="0"/>
              <w:right w:val="single" w:color="000000" w:sz="6" w:space="0"/>
            </w:tcBorders>
            <w:noWrap w:val="0"/>
            <w:vAlign w:val="center"/>
          </w:tcPr>
          <w:p w14:paraId="0AB391D2">
            <w:pPr>
              <w:spacing w:line="300" w:lineRule="exact"/>
              <w:jc w:val="center"/>
              <w:rPr>
                <w:rFonts w:ascii="方正书宋_GBK" w:eastAsia="方正书宋_GBK"/>
                <w:b/>
              </w:rPr>
            </w:pPr>
            <w:r>
              <w:rPr>
                <w:rFonts w:hint="eastAsia" w:ascii="方正书宋_GBK" w:eastAsia="方正书宋_GBK"/>
                <w:b/>
              </w:rPr>
              <w:t>预算资金</w:t>
            </w:r>
          </w:p>
        </w:tc>
        <w:tc>
          <w:tcPr>
            <w:tcW w:w="1095" w:type="dxa"/>
            <w:vMerge w:val="continue"/>
            <w:tcBorders>
              <w:top w:val="single" w:color="000000" w:sz="6" w:space="0"/>
              <w:left w:val="single" w:color="000000" w:sz="6" w:space="0"/>
              <w:bottom w:val="single" w:color="000000" w:sz="6" w:space="0"/>
              <w:right w:val="single" w:color="000000" w:sz="6" w:space="0"/>
            </w:tcBorders>
            <w:noWrap w:val="0"/>
            <w:vAlign w:val="center"/>
          </w:tcPr>
          <w:p w14:paraId="23444B67">
            <w:pPr>
              <w:spacing w:line="300" w:lineRule="exact"/>
              <w:jc w:val="left"/>
              <w:outlineLvl w:val="0"/>
            </w:pPr>
          </w:p>
        </w:tc>
        <w:tc>
          <w:tcPr>
            <w:tcW w:w="1155" w:type="dxa"/>
            <w:vMerge w:val="continue"/>
            <w:tcBorders>
              <w:top w:val="single" w:color="000000" w:sz="6" w:space="0"/>
              <w:left w:val="single" w:color="000000" w:sz="6" w:space="0"/>
              <w:bottom w:val="single" w:color="000000" w:sz="6" w:space="0"/>
              <w:right w:val="single" w:color="000000" w:sz="6" w:space="0"/>
            </w:tcBorders>
            <w:noWrap w:val="0"/>
            <w:vAlign w:val="center"/>
          </w:tcPr>
          <w:p w14:paraId="433073A4">
            <w:pPr>
              <w:spacing w:line="300" w:lineRule="exact"/>
              <w:jc w:val="left"/>
              <w:outlineLvl w:val="0"/>
            </w:pPr>
          </w:p>
        </w:tc>
        <w:tc>
          <w:tcPr>
            <w:tcW w:w="675" w:type="dxa"/>
            <w:vMerge w:val="continue"/>
            <w:tcBorders>
              <w:top w:val="single" w:color="000000" w:sz="6" w:space="0"/>
              <w:left w:val="single" w:color="000000" w:sz="6" w:space="0"/>
              <w:bottom w:val="single" w:color="000000" w:sz="6" w:space="0"/>
              <w:right w:val="single" w:color="000000" w:sz="6" w:space="0"/>
            </w:tcBorders>
            <w:noWrap w:val="0"/>
            <w:vAlign w:val="center"/>
          </w:tcPr>
          <w:p w14:paraId="7BF8F80E">
            <w:pPr>
              <w:spacing w:line="300" w:lineRule="exact"/>
              <w:jc w:val="left"/>
              <w:outlineLvl w:val="0"/>
            </w:pPr>
          </w:p>
        </w:tc>
        <w:tc>
          <w:tcPr>
            <w:tcW w:w="649" w:type="dxa"/>
            <w:vMerge w:val="continue"/>
            <w:tcBorders>
              <w:top w:val="single" w:color="000000" w:sz="6" w:space="0"/>
              <w:left w:val="single" w:color="000000" w:sz="6" w:space="0"/>
              <w:bottom w:val="single" w:color="000000" w:sz="6" w:space="0"/>
              <w:right w:val="single" w:color="000000" w:sz="6" w:space="0"/>
            </w:tcBorders>
            <w:noWrap w:val="0"/>
            <w:vAlign w:val="center"/>
          </w:tcPr>
          <w:p w14:paraId="05C45685">
            <w:pPr>
              <w:spacing w:line="300" w:lineRule="exact"/>
              <w:jc w:val="left"/>
              <w:outlineLvl w:val="0"/>
            </w:pPr>
          </w:p>
        </w:tc>
        <w:tc>
          <w:tcPr>
            <w:tcW w:w="885" w:type="dxa"/>
            <w:vMerge w:val="continue"/>
            <w:tcBorders>
              <w:top w:val="single" w:color="000000" w:sz="6" w:space="0"/>
              <w:left w:val="single" w:color="000000" w:sz="6" w:space="0"/>
              <w:bottom w:val="single" w:color="000000" w:sz="6" w:space="0"/>
              <w:right w:val="single" w:color="000000" w:sz="6" w:space="0"/>
            </w:tcBorders>
            <w:noWrap w:val="0"/>
            <w:vAlign w:val="center"/>
          </w:tcPr>
          <w:p w14:paraId="53B892BB">
            <w:pPr>
              <w:spacing w:line="300" w:lineRule="exact"/>
              <w:jc w:val="left"/>
              <w:outlineLvl w:val="0"/>
            </w:pPr>
          </w:p>
        </w:tc>
        <w:tc>
          <w:tcPr>
            <w:tcW w:w="855" w:type="dxa"/>
            <w:vMerge w:val="restart"/>
            <w:tcBorders>
              <w:top w:val="single" w:color="000000" w:sz="6" w:space="0"/>
              <w:left w:val="single" w:color="000000" w:sz="6" w:space="0"/>
              <w:bottom w:val="single" w:color="000000" w:sz="6" w:space="0"/>
              <w:right w:val="single" w:color="000000" w:sz="6" w:space="0"/>
            </w:tcBorders>
            <w:noWrap w:val="0"/>
            <w:vAlign w:val="center"/>
          </w:tcPr>
          <w:p w14:paraId="7A2D757D">
            <w:pPr>
              <w:spacing w:line="300" w:lineRule="exact"/>
              <w:jc w:val="center"/>
              <w:rPr>
                <w:rFonts w:ascii="方正书宋_GBK" w:eastAsia="方正书宋_GBK"/>
                <w:b/>
              </w:rPr>
            </w:pPr>
            <w:r>
              <w:rPr>
                <w:rFonts w:hint="eastAsia" w:ascii="方正书宋_GBK" w:eastAsia="方正书宋_GBK"/>
                <w:b/>
              </w:rPr>
              <w:t>总计</w:t>
            </w:r>
          </w:p>
        </w:tc>
        <w:tc>
          <w:tcPr>
            <w:tcW w:w="4905" w:type="dxa"/>
            <w:gridSpan w:val="5"/>
            <w:tcBorders>
              <w:top w:val="single" w:color="000000" w:sz="6" w:space="0"/>
              <w:left w:val="single" w:color="000000" w:sz="6" w:space="0"/>
              <w:bottom w:val="single" w:color="000000" w:sz="6" w:space="0"/>
              <w:right w:val="single" w:color="000000" w:sz="6" w:space="0"/>
            </w:tcBorders>
            <w:noWrap w:val="0"/>
            <w:vAlign w:val="center"/>
          </w:tcPr>
          <w:p w14:paraId="6C615628">
            <w:pPr>
              <w:spacing w:line="300" w:lineRule="exact"/>
              <w:jc w:val="center"/>
              <w:rPr>
                <w:rFonts w:ascii="方正书宋_GBK" w:eastAsia="方正书宋_GBK"/>
                <w:b/>
              </w:rPr>
            </w:pPr>
            <w:r>
              <w:rPr>
                <w:rFonts w:hint="eastAsia" w:ascii="方正书宋_GBK" w:eastAsia="方正书宋_GBK"/>
                <w:b/>
              </w:rPr>
              <w:t>当年部门预算安排资金</w:t>
            </w:r>
          </w:p>
        </w:tc>
        <w:tc>
          <w:tcPr>
            <w:tcW w:w="825" w:type="dxa"/>
            <w:vMerge w:val="restart"/>
            <w:tcBorders>
              <w:top w:val="single" w:color="000000" w:sz="6" w:space="0"/>
              <w:left w:val="single" w:color="000000" w:sz="6" w:space="0"/>
              <w:bottom w:val="single" w:color="000000" w:sz="6" w:space="0"/>
              <w:right w:val="single" w:color="000000" w:sz="6" w:space="0"/>
            </w:tcBorders>
            <w:noWrap w:val="0"/>
            <w:vAlign w:val="center"/>
          </w:tcPr>
          <w:p w14:paraId="7F2BE436">
            <w:pPr>
              <w:spacing w:line="300" w:lineRule="exact"/>
              <w:jc w:val="center"/>
              <w:rPr>
                <w:rFonts w:ascii="方正书宋_GBK" w:eastAsia="方正书宋_GBK"/>
                <w:b/>
              </w:rPr>
            </w:pPr>
            <w:r>
              <w:rPr>
                <w:rFonts w:hint="eastAsia" w:ascii="方正书宋_GBK" w:eastAsia="方正书宋_GBK"/>
                <w:b/>
              </w:rPr>
              <w:t>其他渠道资金</w:t>
            </w:r>
          </w:p>
        </w:tc>
      </w:tr>
      <w:tr w14:paraId="71EC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1585" w:type="dxa"/>
            <w:vMerge w:val="continue"/>
            <w:tcBorders>
              <w:top w:val="single" w:color="000000" w:sz="6" w:space="0"/>
              <w:left w:val="single" w:color="000000" w:sz="6" w:space="0"/>
              <w:bottom w:val="single" w:color="000000" w:sz="6" w:space="0"/>
              <w:right w:val="single" w:color="000000" w:sz="6" w:space="0"/>
            </w:tcBorders>
            <w:noWrap w:val="0"/>
            <w:vAlign w:val="center"/>
          </w:tcPr>
          <w:p w14:paraId="4CEDADEB">
            <w:pPr>
              <w:spacing w:line="300" w:lineRule="exact"/>
              <w:jc w:val="left"/>
              <w:outlineLvl w:val="0"/>
            </w:pPr>
          </w:p>
        </w:tc>
        <w:tc>
          <w:tcPr>
            <w:tcW w:w="800" w:type="dxa"/>
            <w:vMerge w:val="continue"/>
            <w:tcBorders>
              <w:top w:val="single" w:color="000000" w:sz="6" w:space="0"/>
              <w:left w:val="single" w:color="000000" w:sz="6" w:space="0"/>
              <w:bottom w:val="single" w:color="000000" w:sz="6" w:space="0"/>
              <w:right w:val="single" w:color="000000" w:sz="6" w:space="0"/>
            </w:tcBorders>
            <w:noWrap w:val="0"/>
            <w:vAlign w:val="center"/>
          </w:tcPr>
          <w:p w14:paraId="71C9ABD4">
            <w:pPr>
              <w:spacing w:line="300" w:lineRule="exact"/>
              <w:jc w:val="left"/>
              <w:outlineLvl w:val="0"/>
            </w:pPr>
          </w:p>
        </w:tc>
        <w:tc>
          <w:tcPr>
            <w:tcW w:w="1095" w:type="dxa"/>
            <w:vMerge w:val="continue"/>
            <w:tcBorders>
              <w:top w:val="single" w:color="000000" w:sz="6" w:space="0"/>
              <w:left w:val="single" w:color="000000" w:sz="6" w:space="0"/>
              <w:bottom w:val="single" w:color="000000" w:sz="6" w:space="0"/>
              <w:right w:val="single" w:color="000000" w:sz="6" w:space="0"/>
            </w:tcBorders>
            <w:noWrap w:val="0"/>
            <w:vAlign w:val="center"/>
          </w:tcPr>
          <w:p w14:paraId="12932DEC">
            <w:pPr>
              <w:spacing w:line="300" w:lineRule="exact"/>
              <w:jc w:val="left"/>
              <w:outlineLvl w:val="0"/>
            </w:pPr>
          </w:p>
        </w:tc>
        <w:tc>
          <w:tcPr>
            <w:tcW w:w="1155" w:type="dxa"/>
            <w:vMerge w:val="continue"/>
            <w:tcBorders>
              <w:top w:val="single" w:color="000000" w:sz="6" w:space="0"/>
              <w:left w:val="single" w:color="000000" w:sz="6" w:space="0"/>
              <w:bottom w:val="single" w:color="000000" w:sz="6" w:space="0"/>
              <w:right w:val="single" w:color="000000" w:sz="6" w:space="0"/>
            </w:tcBorders>
            <w:noWrap w:val="0"/>
            <w:vAlign w:val="center"/>
          </w:tcPr>
          <w:p w14:paraId="1B21A8BD">
            <w:pPr>
              <w:spacing w:line="300" w:lineRule="exact"/>
              <w:jc w:val="left"/>
              <w:outlineLvl w:val="0"/>
            </w:pPr>
          </w:p>
        </w:tc>
        <w:tc>
          <w:tcPr>
            <w:tcW w:w="675" w:type="dxa"/>
            <w:vMerge w:val="continue"/>
            <w:tcBorders>
              <w:top w:val="single" w:color="000000" w:sz="6" w:space="0"/>
              <w:left w:val="single" w:color="000000" w:sz="6" w:space="0"/>
              <w:bottom w:val="single" w:color="000000" w:sz="6" w:space="0"/>
              <w:right w:val="single" w:color="000000" w:sz="6" w:space="0"/>
            </w:tcBorders>
            <w:noWrap w:val="0"/>
            <w:vAlign w:val="center"/>
          </w:tcPr>
          <w:p w14:paraId="1F611417">
            <w:pPr>
              <w:spacing w:line="300" w:lineRule="exact"/>
              <w:jc w:val="left"/>
              <w:outlineLvl w:val="0"/>
            </w:pPr>
          </w:p>
        </w:tc>
        <w:tc>
          <w:tcPr>
            <w:tcW w:w="649" w:type="dxa"/>
            <w:vMerge w:val="continue"/>
            <w:tcBorders>
              <w:top w:val="single" w:color="000000" w:sz="6" w:space="0"/>
              <w:left w:val="single" w:color="000000" w:sz="6" w:space="0"/>
              <w:bottom w:val="single" w:color="000000" w:sz="6" w:space="0"/>
              <w:right w:val="single" w:color="000000" w:sz="6" w:space="0"/>
            </w:tcBorders>
            <w:noWrap w:val="0"/>
            <w:vAlign w:val="center"/>
          </w:tcPr>
          <w:p w14:paraId="7443B523">
            <w:pPr>
              <w:spacing w:line="300" w:lineRule="exact"/>
              <w:jc w:val="left"/>
              <w:outlineLvl w:val="0"/>
            </w:pPr>
          </w:p>
        </w:tc>
        <w:tc>
          <w:tcPr>
            <w:tcW w:w="885" w:type="dxa"/>
            <w:vMerge w:val="continue"/>
            <w:tcBorders>
              <w:top w:val="single" w:color="000000" w:sz="6" w:space="0"/>
              <w:left w:val="single" w:color="000000" w:sz="6" w:space="0"/>
              <w:bottom w:val="single" w:color="000000" w:sz="6" w:space="0"/>
              <w:right w:val="single" w:color="000000" w:sz="6" w:space="0"/>
            </w:tcBorders>
            <w:noWrap w:val="0"/>
            <w:vAlign w:val="center"/>
          </w:tcPr>
          <w:p w14:paraId="312A4D36">
            <w:pPr>
              <w:spacing w:line="300" w:lineRule="exact"/>
              <w:jc w:val="left"/>
              <w:outlineLvl w:val="0"/>
            </w:pPr>
          </w:p>
        </w:tc>
        <w:tc>
          <w:tcPr>
            <w:tcW w:w="855" w:type="dxa"/>
            <w:vMerge w:val="continue"/>
            <w:tcBorders>
              <w:top w:val="single" w:color="000000" w:sz="6" w:space="0"/>
              <w:left w:val="single" w:color="000000" w:sz="6" w:space="0"/>
              <w:bottom w:val="single" w:color="000000" w:sz="6" w:space="0"/>
              <w:right w:val="single" w:color="000000" w:sz="6" w:space="0"/>
            </w:tcBorders>
            <w:noWrap w:val="0"/>
            <w:vAlign w:val="center"/>
          </w:tcPr>
          <w:p w14:paraId="08040160">
            <w:pPr>
              <w:spacing w:line="300" w:lineRule="exact"/>
              <w:jc w:val="left"/>
              <w:outlineLvl w:val="0"/>
            </w:pPr>
          </w:p>
        </w:tc>
        <w:tc>
          <w:tcPr>
            <w:tcW w:w="840" w:type="dxa"/>
            <w:tcBorders>
              <w:top w:val="single" w:color="000000" w:sz="6" w:space="0"/>
              <w:left w:val="single" w:color="000000" w:sz="6" w:space="0"/>
              <w:bottom w:val="single" w:color="000000" w:sz="6" w:space="0"/>
              <w:right w:val="single" w:color="000000" w:sz="6" w:space="0"/>
            </w:tcBorders>
            <w:noWrap w:val="0"/>
            <w:vAlign w:val="center"/>
          </w:tcPr>
          <w:p w14:paraId="047783A1">
            <w:pPr>
              <w:spacing w:line="300" w:lineRule="exact"/>
              <w:jc w:val="center"/>
              <w:rPr>
                <w:rFonts w:ascii="方正书宋_GBK" w:eastAsia="方正书宋_GBK"/>
                <w:b/>
              </w:rPr>
            </w:pPr>
            <w:r>
              <w:rPr>
                <w:rFonts w:hint="eastAsia" w:ascii="方正书宋_GBK" w:eastAsia="方正书宋_GBK"/>
                <w:b/>
              </w:rPr>
              <w:t>合计</w:t>
            </w:r>
          </w:p>
        </w:tc>
        <w:tc>
          <w:tcPr>
            <w:tcW w:w="1185" w:type="dxa"/>
            <w:tcBorders>
              <w:top w:val="single" w:color="000000" w:sz="6" w:space="0"/>
              <w:left w:val="single" w:color="000000" w:sz="6" w:space="0"/>
              <w:bottom w:val="single" w:color="000000" w:sz="6" w:space="0"/>
              <w:right w:val="single" w:color="000000" w:sz="6" w:space="0"/>
            </w:tcBorders>
            <w:noWrap w:val="0"/>
            <w:vAlign w:val="center"/>
          </w:tcPr>
          <w:p w14:paraId="1A5EC18F">
            <w:pPr>
              <w:spacing w:line="300" w:lineRule="exact"/>
              <w:jc w:val="center"/>
              <w:rPr>
                <w:rFonts w:ascii="方正书宋_GBK" w:eastAsia="方正书宋_GBK"/>
                <w:b/>
              </w:rPr>
            </w:pPr>
            <w:r>
              <w:rPr>
                <w:rFonts w:hint="eastAsia" w:ascii="方正书宋_GBK" w:eastAsia="方正书宋_GBK"/>
                <w:b/>
              </w:rPr>
              <w:t>一般公共预算拨款</w:t>
            </w:r>
          </w:p>
        </w:tc>
        <w:tc>
          <w:tcPr>
            <w:tcW w:w="1020" w:type="dxa"/>
            <w:tcBorders>
              <w:top w:val="single" w:color="000000" w:sz="6" w:space="0"/>
              <w:left w:val="single" w:color="000000" w:sz="6" w:space="0"/>
              <w:bottom w:val="single" w:color="000000" w:sz="6" w:space="0"/>
              <w:right w:val="single" w:color="000000" w:sz="6" w:space="0"/>
            </w:tcBorders>
            <w:noWrap w:val="0"/>
            <w:vAlign w:val="center"/>
          </w:tcPr>
          <w:p w14:paraId="34474821">
            <w:pPr>
              <w:spacing w:line="300" w:lineRule="exact"/>
              <w:jc w:val="center"/>
              <w:rPr>
                <w:rFonts w:ascii="方正书宋_GBK" w:eastAsia="方正书宋_GBK"/>
                <w:b/>
              </w:rPr>
            </w:pPr>
            <w:r>
              <w:rPr>
                <w:rFonts w:hint="eastAsia" w:ascii="方正书宋_GBK" w:eastAsia="方正书宋_GBK"/>
                <w:b/>
              </w:rPr>
              <w:t>基金预算拨款</w:t>
            </w:r>
          </w:p>
        </w:tc>
        <w:tc>
          <w:tcPr>
            <w:tcW w:w="990" w:type="dxa"/>
            <w:tcBorders>
              <w:top w:val="single" w:color="000000" w:sz="6" w:space="0"/>
              <w:left w:val="single" w:color="000000" w:sz="6" w:space="0"/>
              <w:bottom w:val="single" w:color="000000" w:sz="6" w:space="0"/>
              <w:right w:val="single" w:color="000000" w:sz="6" w:space="0"/>
            </w:tcBorders>
            <w:noWrap w:val="0"/>
            <w:vAlign w:val="center"/>
          </w:tcPr>
          <w:p w14:paraId="3B54BBAD">
            <w:pPr>
              <w:spacing w:line="300" w:lineRule="exact"/>
              <w:jc w:val="center"/>
              <w:rPr>
                <w:rFonts w:ascii="方正书宋_GBK" w:eastAsia="方正书宋_GBK"/>
                <w:b/>
              </w:rPr>
            </w:pPr>
            <w:r>
              <w:rPr>
                <w:rFonts w:hint="eastAsia" w:ascii="方正书宋_GBK" w:eastAsia="方正书宋_GBK"/>
                <w:b/>
              </w:rPr>
              <w:t>财政专户核拨</w:t>
            </w:r>
          </w:p>
        </w:tc>
        <w:tc>
          <w:tcPr>
            <w:tcW w:w="870" w:type="dxa"/>
            <w:tcBorders>
              <w:top w:val="single" w:color="000000" w:sz="6" w:space="0"/>
              <w:left w:val="single" w:color="000000" w:sz="6" w:space="0"/>
              <w:bottom w:val="single" w:color="000000" w:sz="6" w:space="0"/>
              <w:right w:val="single" w:color="000000" w:sz="6" w:space="0"/>
            </w:tcBorders>
            <w:noWrap w:val="0"/>
            <w:vAlign w:val="center"/>
          </w:tcPr>
          <w:p w14:paraId="6EDD523F">
            <w:pPr>
              <w:spacing w:line="300" w:lineRule="exact"/>
              <w:jc w:val="center"/>
              <w:rPr>
                <w:rFonts w:ascii="方正书宋_GBK" w:eastAsia="方正书宋_GBK"/>
                <w:b/>
              </w:rPr>
            </w:pPr>
            <w:r>
              <w:rPr>
                <w:rFonts w:hint="eastAsia" w:ascii="方正书宋_GBK" w:eastAsia="方正书宋_GBK"/>
                <w:b/>
              </w:rPr>
              <w:t>其他来源收入</w:t>
            </w:r>
          </w:p>
        </w:tc>
        <w:tc>
          <w:tcPr>
            <w:tcW w:w="825" w:type="dxa"/>
            <w:vMerge w:val="continue"/>
            <w:tcBorders>
              <w:top w:val="single" w:color="000000" w:sz="6" w:space="0"/>
              <w:left w:val="single" w:color="000000" w:sz="6" w:space="0"/>
              <w:bottom w:val="single" w:color="000000" w:sz="6" w:space="0"/>
              <w:right w:val="single" w:color="000000" w:sz="6" w:space="0"/>
            </w:tcBorders>
            <w:noWrap w:val="0"/>
            <w:vAlign w:val="center"/>
          </w:tcPr>
          <w:p w14:paraId="43A08283">
            <w:pPr>
              <w:spacing w:line="300" w:lineRule="exact"/>
              <w:jc w:val="left"/>
              <w:outlineLvl w:val="0"/>
            </w:pPr>
          </w:p>
        </w:tc>
      </w:tr>
      <w:tr w14:paraId="0EE1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1585" w:type="dxa"/>
            <w:tcBorders>
              <w:top w:val="single" w:color="000000" w:sz="6" w:space="0"/>
              <w:left w:val="single" w:color="000000" w:sz="6" w:space="0"/>
              <w:bottom w:val="single" w:color="000000" w:sz="6" w:space="0"/>
              <w:right w:val="single" w:color="000000" w:sz="6" w:space="0"/>
            </w:tcBorders>
            <w:noWrap w:val="0"/>
            <w:vAlign w:val="center"/>
          </w:tcPr>
          <w:p w14:paraId="0BC44B03">
            <w:pPr>
              <w:spacing w:line="300" w:lineRule="exact"/>
              <w:jc w:val="center"/>
              <w:rPr>
                <w:rFonts w:hint="eastAsia" w:ascii="方正书宋_GBK" w:eastAsia="方正书宋_GBK"/>
                <w:b/>
              </w:rPr>
            </w:pPr>
            <w:r>
              <w:rPr>
                <w:rFonts w:hint="eastAsia" w:ascii="方正书宋_GBK" w:eastAsia="方正书宋_GBK"/>
                <w:b/>
              </w:rPr>
              <w:t>无</w:t>
            </w:r>
          </w:p>
        </w:tc>
        <w:tc>
          <w:tcPr>
            <w:tcW w:w="800" w:type="dxa"/>
            <w:tcBorders>
              <w:top w:val="single" w:color="000000" w:sz="6" w:space="0"/>
              <w:left w:val="single" w:color="000000" w:sz="6" w:space="0"/>
              <w:bottom w:val="single" w:color="000000" w:sz="6" w:space="0"/>
              <w:right w:val="single" w:color="000000" w:sz="6" w:space="0"/>
            </w:tcBorders>
            <w:noWrap w:val="0"/>
            <w:vAlign w:val="center"/>
          </w:tcPr>
          <w:p w14:paraId="582C29FA">
            <w:pPr>
              <w:spacing w:line="300" w:lineRule="exact"/>
              <w:jc w:val="right"/>
              <w:rPr>
                <w:rFonts w:hint="eastAsia" w:ascii="方正书宋_GBK" w:eastAsia="方正书宋_GBK"/>
                <w:b/>
              </w:rPr>
            </w:pPr>
          </w:p>
        </w:tc>
        <w:tc>
          <w:tcPr>
            <w:tcW w:w="1095" w:type="dxa"/>
            <w:tcBorders>
              <w:top w:val="single" w:color="000000" w:sz="6" w:space="0"/>
              <w:left w:val="single" w:color="000000" w:sz="6" w:space="0"/>
              <w:bottom w:val="single" w:color="000000" w:sz="6" w:space="0"/>
              <w:right w:val="single" w:color="000000" w:sz="6" w:space="0"/>
            </w:tcBorders>
            <w:noWrap w:val="0"/>
            <w:vAlign w:val="center"/>
          </w:tcPr>
          <w:p w14:paraId="7AE5781F">
            <w:pPr>
              <w:spacing w:line="300" w:lineRule="exact"/>
              <w:jc w:val="left"/>
              <w:rPr>
                <w:rFonts w:hint="eastAsia" w:ascii="方正书宋_GBK" w:eastAsia="方正书宋_GBK"/>
                <w:b/>
              </w:rPr>
            </w:pPr>
          </w:p>
        </w:tc>
        <w:tc>
          <w:tcPr>
            <w:tcW w:w="1155" w:type="dxa"/>
            <w:tcBorders>
              <w:top w:val="single" w:color="000000" w:sz="6" w:space="0"/>
              <w:left w:val="single" w:color="000000" w:sz="6" w:space="0"/>
              <w:bottom w:val="single" w:color="000000" w:sz="6" w:space="0"/>
              <w:right w:val="single" w:color="000000" w:sz="6" w:space="0"/>
            </w:tcBorders>
            <w:noWrap w:val="0"/>
            <w:vAlign w:val="center"/>
          </w:tcPr>
          <w:p w14:paraId="0BDB4996">
            <w:pPr>
              <w:widowControl/>
              <w:jc w:val="left"/>
              <w:textAlignment w:val="center"/>
              <w:rPr>
                <w:rFonts w:ascii="方正书宋_GBK" w:eastAsia="方正书宋_GBK"/>
                <w:b/>
              </w:rPr>
            </w:pPr>
          </w:p>
        </w:tc>
        <w:tc>
          <w:tcPr>
            <w:tcW w:w="675" w:type="dxa"/>
            <w:tcBorders>
              <w:top w:val="single" w:color="000000" w:sz="6" w:space="0"/>
              <w:left w:val="single" w:color="000000" w:sz="6" w:space="0"/>
              <w:bottom w:val="single" w:color="000000" w:sz="6" w:space="0"/>
              <w:right w:val="single" w:color="000000" w:sz="6" w:space="0"/>
            </w:tcBorders>
            <w:noWrap w:val="0"/>
            <w:vAlign w:val="center"/>
          </w:tcPr>
          <w:p w14:paraId="3125A3A8">
            <w:pPr>
              <w:spacing w:line="300" w:lineRule="exact"/>
              <w:jc w:val="left"/>
              <w:rPr>
                <w:rFonts w:ascii="方正书宋_GBK" w:eastAsia="方正书宋_GBK"/>
                <w:b/>
              </w:rPr>
            </w:pPr>
          </w:p>
        </w:tc>
        <w:tc>
          <w:tcPr>
            <w:tcW w:w="649" w:type="dxa"/>
            <w:tcBorders>
              <w:top w:val="single" w:color="000000" w:sz="6" w:space="0"/>
              <w:left w:val="single" w:color="000000" w:sz="6" w:space="0"/>
              <w:bottom w:val="single" w:color="000000" w:sz="6" w:space="0"/>
              <w:right w:val="single" w:color="000000" w:sz="6" w:space="0"/>
            </w:tcBorders>
            <w:noWrap w:val="0"/>
            <w:vAlign w:val="center"/>
          </w:tcPr>
          <w:p w14:paraId="6D29E28D">
            <w:pPr>
              <w:spacing w:line="300" w:lineRule="exact"/>
              <w:jc w:val="right"/>
              <w:rPr>
                <w:rFonts w:hint="eastAsia" w:ascii="方正书宋_GBK" w:eastAsia="方正书宋_GBK"/>
                <w:b/>
              </w:rPr>
            </w:pPr>
          </w:p>
        </w:tc>
        <w:tc>
          <w:tcPr>
            <w:tcW w:w="885" w:type="dxa"/>
            <w:tcBorders>
              <w:top w:val="single" w:color="000000" w:sz="6" w:space="0"/>
              <w:left w:val="single" w:color="000000" w:sz="6" w:space="0"/>
              <w:bottom w:val="single" w:color="000000" w:sz="6" w:space="0"/>
              <w:right w:val="single" w:color="000000" w:sz="6" w:space="0"/>
            </w:tcBorders>
            <w:noWrap w:val="0"/>
            <w:vAlign w:val="center"/>
          </w:tcPr>
          <w:p w14:paraId="6ABF4337">
            <w:pPr>
              <w:spacing w:line="300" w:lineRule="exact"/>
              <w:jc w:val="right"/>
              <w:rPr>
                <w:rFonts w:hint="eastAsia" w:ascii="方正书宋_GBK" w:eastAsia="方正书宋_GBK"/>
                <w:b/>
              </w:rPr>
            </w:pPr>
          </w:p>
        </w:tc>
        <w:tc>
          <w:tcPr>
            <w:tcW w:w="855" w:type="dxa"/>
            <w:tcBorders>
              <w:top w:val="single" w:color="000000" w:sz="6" w:space="0"/>
              <w:left w:val="single" w:color="000000" w:sz="6" w:space="0"/>
              <w:bottom w:val="single" w:color="000000" w:sz="6" w:space="0"/>
              <w:right w:val="single" w:color="000000" w:sz="6" w:space="0"/>
            </w:tcBorders>
            <w:noWrap w:val="0"/>
            <w:vAlign w:val="center"/>
          </w:tcPr>
          <w:p w14:paraId="7015603E">
            <w:pPr>
              <w:spacing w:line="300" w:lineRule="exact"/>
              <w:jc w:val="right"/>
              <w:rPr>
                <w:rFonts w:hint="eastAsia" w:ascii="方正书宋_GBK" w:eastAsia="方正书宋_GBK"/>
                <w:b/>
              </w:rPr>
            </w:pPr>
          </w:p>
        </w:tc>
        <w:tc>
          <w:tcPr>
            <w:tcW w:w="840" w:type="dxa"/>
            <w:tcBorders>
              <w:top w:val="single" w:color="000000" w:sz="6" w:space="0"/>
              <w:left w:val="single" w:color="000000" w:sz="6" w:space="0"/>
              <w:bottom w:val="single" w:color="000000" w:sz="6" w:space="0"/>
              <w:right w:val="single" w:color="000000" w:sz="6" w:space="0"/>
            </w:tcBorders>
            <w:noWrap w:val="0"/>
            <w:vAlign w:val="center"/>
          </w:tcPr>
          <w:p w14:paraId="1A627875">
            <w:pPr>
              <w:spacing w:line="300" w:lineRule="exact"/>
              <w:jc w:val="right"/>
              <w:rPr>
                <w:rFonts w:hint="eastAsia" w:ascii="方正书宋_GBK" w:eastAsia="方正书宋_GBK"/>
                <w:b/>
              </w:rPr>
            </w:pPr>
          </w:p>
        </w:tc>
        <w:tc>
          <w:tcPr>
            <w:tcW w:w="1185" w:type="dxa"/>
            <w:tcBorders>
              <w:top w:val="single" w:color="000000" w:sz="6" w:space="0"/>
              <w:left w:val="single" w:color="000000" w:sz="6" w:space="0"/>
              <w:bottom w:val="single" w:color="000000" w:sz="6" w:space="0"/>
              <w:right w:val="single" w:color="000000" w:sz="6" w:space="0"/>
            </w:tcBorders>
            <w:noWrap w:val="0"/>
            <w:vAlign w:val="center"/>
          </w:tcPr>
          <w:p w14:paraId="404AC84C">
            <w:pPr>
              <w:spacing w:line="300" w:lineRule="exact"/>
              <w:jc w:val="right"/>
              <w:rPr>
                <w:rFonts w:hint="eastAsia" w:ascii="方正书宋_GBK" w:eastAsia="方正书宋_GBK"/>
                <w:b/>
              </w:rPr>
            </w:pPr>
          </w:p>
        </w:tc>
        <w:tc>
          <w:tcPr>
            <w:tcW w:w="1020" w:type="dxa"/>
            <w:tcBorders>
              <w:top w:val="single" w:color="000000" w:sz="6" w:space="0"/>
              <w:left w:val="single" w:color="000000" w:sz="6" w:space="0"/>
              <w:bottom w:val="single" w:color="000000" w:sz="6" w:space="0"/>
              <w:right w:val="single" w:color="000000" w:sz="6" w:space="0"/>
            </w:tcBorders>
            <w:noWrap w:val="0"/>
            <w:vAlign w:val="center"/>
          </w:tcPr>
          <w:p w14:paraId="00151CBC">
            <w:pPr>
              <w:spacing w:line="300" w:lineRule="exact"/>
              <w:jc w:val="right"/>
              <w:rPr>
                <w:rFonts w:ascii="方正书宋_GBK" w:eastAsia="方正书宋_GBK"/>
                <w:b/>
              </w:rPr>
            </w:pPr>
          </w:p>
        </w:tc>
        <w:tc>
          <w:tcPr>
            <w:tcW w:w="990" w:type="dxa"/>
            <w:tcBorders>
              <w:top w:val="single" w:color="000000" w:sz="6" w:space="0"/>
              <w:left w:val="single" w:color="000000" w:sz="6" w:space="0"/>
              <w:bottom w:val="single" w:color="000000" w:sz="6" w:space="0"/>
              <w:right w:val="single" w:color="000000" w:sz="6" w:space="0"/>
            </w:tcBorders>
            <w:noWrap w:val="0"/>
            <w:vAlign w:val="center"/>
          </w:tcPr>
          <w:p w14:paraId="5410A395">
            <w:pPr>
              <w:spacing w:line="300" w:lineRule="exact"/>
              <w:jc w:val="right"/>
              <w:rPr>
                <w:rFonts w:ascii="方正书宋_GBK" w:eastAsia="方正书宋_GBK"/>
                <w:b/>
              </w:rPr>
            </w:pPr>
          </w:p>
        </w:tc>
        <w:tc>
          <w:tcPr>
            <w:tcW w:w="870" w:type="dxa"/>
            <w:tcBorders>
              <w:top w:val="single" w:color="000000" w:sz="6" w:space="0"/>
              <w:left w:val="single" w:color="000000" w:sz="6" w:space="0"/>
              <w:bottom w:val="single" w:color="000000" w:sz="6" w:space="0"/>
              <w:right w:val="single" w:color="000000" w:sz="6" w:space="0"/>
            </w:tcBorders>
            <w:noWrap w:val="0"/>
            <w:vAlign w:val="center"/>
          </w:tcPr>
          <w:p w14:paraId="7465FBB5">
            <w:pPr>
              <w:spacing w:line="300" w:lineRule="exact"/>
              <w:jc w:val="right"/>
              <w:rPr>
                <w:rFonts w:ascii="方正书宋_GBK" w:eastAsia="方正书宋_GBK"/>
                <w:b/>
              </w:rPr>
            </w:pPr>
          </w:p>
        </w:tc>
        <w:tc>
          <w:tcPr>
            <w:tcW w:w="825" w:type="dxa"/>
            <w:tcBorders>
              <w:top w:val="single" w:color="000000" w:sz="6" w:space="0"/>
              <w:left w:val="single" w:color="000000" w:sz="6" w:space="0"/>
              <w:bottom w:val="single" w:color="000000" w:sz="6" w:space="0"/>
              <w:right w:val="single" w:color="000000" w:sz="6" w:space="0"/>
            </w:tcBorders>
            <w:noWrap w:val="0"/>
            <w:vAlign w:val="center"/>
          </w:tcPr>
          <w:p w14:paraId="67A7E9EC">
            <w:pPr>
              <w:spacing w:line="300" w:lineRule="exact"/>
              <w:jc w:val="right"/>
              <w:rPr>
                <w:rFonts w:ascii="方正书宋_GBK" w:eastAsia="方正书宋_GBK"/>
                <w:b/>
              </w:rPr>
            </w:pPr>
          </w:p>
        </w:tc>
      </w:tr>
      <w:tr w14:paraId="6D44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1585" w:type="dxa"/>
            <w:tcBorders>
              <w:top w:val="single" w:color="000000" w:sz="6" w:space="0"/>
              <w:left w:val="single" w:color="000000" w:sz="6" w:space="0"/>
              <w:bottom w:val="single" w:color="000000" w:sz="6" w:space="0"/>
              <w:right w:val="single" w:color="000000" w:sz="6" w:space="0"/>
            </w:tcBorders>
            <w:noWrap w:val="0"/>
            <w:vAlign w:val="center"/>
          </w:tcPr>
          <w:p w14:paraId="7028BBA6">
            <w:pPr>
              <w:spacing w:line="300" w:lineRule="exact"/>
              <w:jc w:val="left"/>
              <w:rPr>
                <w:rFonts w:ascii="方正书宋_GBK" w:eastAsia="方正书宋_GBK"/>
              </w:rPr>
            </w:pPr>
          </w:p>
        </w:tc>
        <w:tc>
          <w:tcPr>
            <w:tcW w:w="800" w:type="dxa"/>
            <w:tcBorders>
              <w:top w:val="single" w:color="000000" w:sz="6" w:space="0"/>
              <w:left w:val="single" w:color="000000" w:sz="6" w:space="0"/>
              <w:bottom w:val="single" w:color="000000" w:sz="6" w:space="0"/>
              <w:right w:val="single" w:color="000000" w:sz="6" w:space="0"/>
            </w:tcBorders>
            <w:noWrap w:val="0"/>
            <w:vAlign w:val="center"/>
          </w:tcPr>
          <w:p w14:paraId="19C2FB61">
            <w:pPr>
              <w:spacing w:line="300" w:lineRule="exact"/>
              <w:jc w:val="right"/>
              <w:rPr>
                <w:rFonts w:ascii="方正书宋_GBK" w:eastAsia="方正书宋_GBK"/>
              </w:rPr>
            </w:pPr>
          </w:p>
        </w:tc>
        <w:tc>
          <w:tcPr>
            <w:tcW w:w="1095" w:type="dxa"/>
            <w:tcBorders>
              <w:top w:val="single" w:color="000000" w:sz="6" w:space="0"/>
              <w:left w:val="single" w:color="000000" w:sz="6" w:space="0"/>
              <w:bottom w:val="single" w:color="000000" w:sz="6" w:space="0"/>
              <w:right w:val="single" w:color="000000" w:sz="6" w:space="0"/>
            </w:tcBorders>
            <w:noWrap w:val="0"/>
            <w:vAlign w:val="center"/>
          </w:tcPr>
          <w:p w14:paraId="75C944D1">
            <w:pPr>
              <w:spacing w:line="300" w:lineRule="exact"/>
              <w:jc w:val="left"/>
              <w:rPr>
                <w:rFonts w:ascii="方正书宋_GBK" w:eastAsia="方正书宋_GBK"/>
              </w:rPr>
            </w:pPr>
          </w:p>
        </w:tc>
        <w:tc>
          <w:tcPr>
            <w:tcW w:w="1155" w:type="dxa"/>
            <w:tcBorders>
              <w:top w:val="single" w:color="000000" w:sz="6" w:space="0"/>
              <w:left w:val="single" w:color="000000" w:sz="6" w:space="0"/>
              <w:bottom w:val="single" w:color="000000" w:sz="6" w:space="0"/>
              <w:right w:val="single" w:color="000000" w:sz="6" w:space="0"/>
            </w:tcBorders>
            <w:noWrap w:val="0"/>
            <w:vAlign w:val="center"/>
          </w:tcPr>
          <w:p w14:paraId="2BBFA6A0">
            <w:pPr>
              <w:spacing w:line="300" w:lineRule="exact"/>
              <w:jc w:val="left"/>
              <w:rPr>
                <w:rFonts w:ascii="方正书宋_GBK" w:eastAsia="方正书宋_GBK"/>
              </w:rPr>
            </w:pPr>
          </w:p>
        </w:tc>
        <w:tc>
          <w:tcPr>
            <w:tcW w:w="675" w:type="dxa"/>
            <w:tcBorders>
              <w:top w:val="single" w:color="000000" w:sz="6" w:space="0"/>
              <w:left w:val="single" w:color="000000" w:sz="6" w:space="0"/>
              <w:bottom w:val="single" w:color="000000" w:sz="6" w:space="0"/>
              <w:right w:val="single" w:color="000000" w:sz="6" w:space="0"/>
            </w:tcBorders>
            <w:noWrap w:val="0"/>
            <w:vAlign w:val="center"/>
          </w:tcPr>
          <w:p w14:paraId="1E371C4D">
            <w:pPr>
              <w:spacing w:line="300" w:lineRule="exact"/>
              <w:jc w:val="left"/>
              <w:rPr>
                <w:rFonts w:ascii="方正书宋_GBK" w:eastAsia="方正书宋_GBK"/>
              </w:rPr>
            </w:pPr>
          </w:p>
        </w:tc>
        <w:tc>
          <w:tcPr>
            <w:tcW w:w="649" w:type="dxa"/>
            <w:tcBorders>
              <w:top w:val="single" w:color="000000" w:sz="6" w:space="0"/>
              <w:left w:val="single" w:color="000000" w:sz="6" w:space="0"/>
              <w:bottom w:val="single" w:color="000000" w:sz="6" w:space="0"/>
              <w:right w:val="single" w:color="000000" w:sz="6" w:space="0"/>
            </w:tcBorders>
            <w:noWrap w:val="0"/>
            <w:vAlign w:val="center"/>
          </w:tcPr>
          <w:p w14:paraId="3342B9FA">
            <w:pPr>
              <w:spacing w:line="300" w:lineRule="exact"/>
              <w:jc w:val="right"/>
              <w:rPr>
                <w:rFonts w:ascii="方正书宋_GBK" w:eastAsia="方正书宋_GBK"/>
              </w:rPr>
            </w:pPr>
          </w:p>
        </w:tc>
        <w:tc>
          <w:tcPr>
            <w:tcW w:w="885" w:type="dxa"/>
            <w:tcBorders>
              <w:top w:val="single" w:color="000000" w:sz="6" w:space="0"/>
              <w:left w:val="single" w:color="000000" w:sz="6" w:space="0"/>
              <w:bottom w:val="single" w:color="000000" w:sz="6" w:space="0"/>
              <w:right w:val="single" w:color="000000" w:sz="6" w:space="0"/>
            </w:tcBorders>
            <w:noWrap w:val="0"/>
            <w:vAlign w:val="center"/>
          </w:tcPr>
          <w:p w14:paraId="043BA4D3">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noWrap w:val="0"/>
            <w:vAlign w:val="center"/>
          </w:tcPr>
          <w:p w14:paraId="4ABD2A39">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noWrap w:val="0"/>
            <w:vAlign w:val="center"/>
          </w:tcPr>
          <w:p w14:paraId="698BB5EB">
            <w:pPr>
              <w:spacing w:line="300" w:lineRule="exact"/>
              <w:jc w:val="right"/>
              <w:rPr>
                <w:rFonts w:ascii="方正书宋_GBK" w:eastAsia="方正书宋_GBK"/>
              </w:rPr>
            </w:pPr>
          </w:p>
        </w:tc>
        <w:tc>
          <w:tcPr>
            <w:tcW w:w="1185" w:type="dxa"/>
            <w:tcBorders>
              <w:top w:val="single" w:color="000000" w:sz="6" w:space="0"/>
              <w:left w:val="single" w:color="000000" w:sz="6" w:space="0"/>
              <w:bottom w:val="single" w:color="000000" w:sz="6" w:space="0"/>
              <w:right w:val="single" w:color="000000" w:sz="6" w:space="0"/>
            </w:tcBorders>
            <w:noWrap w:val="0"/>
            <w:vAlign w:val="center"/>
          </w:tcPr>
          <w:p w14:paraId="0FF3F080">
            <w:pPr>
              <w:spacing w:line="300" w:lineRule="exact"/>
              <w:jc w:val="right"/>
              <w:rPr>
                <w:rFonts w:ascii="方正书宋_GBK" w:eastAsia="方正书宋_GBK"/>
              </w:rPr>
            </w:pPr>
          </w:p>
        </w:tc>
        <w:tc>
          <w:tcPr>
            <w:tcW w:w="1020" w:type="dxa"/>
            <w:tcBorders>
              <w:top w:val="single" w:color="000000" w:sz="6" w:space="0"/>
              <w:left w:val="single" w:color="000000" w:sz="6" w:space="0"/>
              <w:bottom w:val="single" w:color="000000" w:sz="6" w:space="0"/>
              <w:right w:val="single" w:color="000000" w:sz="6" w:space="0"/>
            </w:tcBorders>
            <w:noWrap w:val="0"/>
            <w:vAlign w:val="center"/>
          </w:tcPr>
          <w:p w14:paraId="4BAC821D">
            <w:pPr>
              <w:spacing w:line="300" w:lineRule="exact"/>
              <w:jc w:val="right"/>
              <w:rPr>
                <w:rFonts w:ascii="方正书宋_GBK" w:eastAsia="方正书宋_GBK"/>
              </w:rPr>
            </w:pPr>
          </w:p>
        </w:tc>
        <w:tc>
          <w:tcPr>
            <w:tcW w:w="990" w:type="dxa"/>
            <w:tcBorders>
              <w:top w:val="single" w:color="000000" w:sz="6" w:space="0"/>
              <w:left w:val="single" w:color="000000" w:sz="6" w:space="0"/>
              <w:bottom w:val="single" w:color="000000" w:sz="6" w:space="0"/>
              <w:right w:val="single" w:color="000000" w:sz="6" w:space="0"/>
            </w:tcBorders>
            <w:noWrap w:val="0"/>
            <w:vAlign w:val="center"/>
          </w:tcPr>
          <w:p w14:paraId="778A2DD2">
            <w:pPr>
              <w:spacing w:line="300" w:lineRule="exact"/>
              <w:jc w:val="right"/>
              <w:rPr>
                <w:rFonts w:ascii="方正书宋_GBK" w:eastAsia="方正书宋_GBK"/>
              </w:rPr>
            </w:pPr>
          </w:p>
        </w:tc>
        <w:tc>
          <w:tcPr>
            <w:tcW w:w="870" w:type="dxa"/>
            <w:tcBorders>
              <w:top w:val="single" w:color="000000" w:sz="6" w:space="0"/>
              <w:left w:val="single" w:color="000000" w:sz="6" w:space="0"/>
              <w:bottom w:val="single" w:color="000000" w:sz="6" w:space="0"/>
              <w:right w:val="single" w:color="000000" w:sz="6" w:space="0"/>
            </w:tcBorders>
            <w:noWrap w:val="0"/>
            <w:vAlign w:val="center"/>
          </w:tcPr>
          <w:p w14:paraId="56CBC25D">
            <w:pPr>
              <w:spacing w:line="300" w:lineRule="exact"/>
              <w:jc w:val="right"/>
              <w:rPr>
                <w:rFonts w:ascii="方正书宋_GBK" w:eastAsia="方正书宋_GBK"/>
              </w:rPr>
            </w:pPr>
          </w:p>
        </w:tc>
        <w:tc>
          <w:tcPr>
            <w:tcW w:w="825" w:type="dxa"/>
            <w:tcBorders>
              <w:top w:val="single" w:color="000000" w:sz="6" w:space="0"/>
              <w:left w:val="single" w:color="000000" w:sz="6" w:space="0"/>
              <w:bottom w:val="single" w:color="000000" w:sz="6" w:space="0"/>
              <w:right w:val="single" w:color="000000" w:sz="6" w:space="0"/>
            </w:tcBorders>
            <w:noWrap w:val="0"/>
            <w:vAlign w:val="center"/>
          </w:tcPr>
          <w:p w14:paraId="3EB4C14E">
            <w:pPr>
              <w:spacing w:line="300" w:lineRule="exact"/>
              <w:jc w:val="right"/>
              <w:rPr>
                <w:rFonts w:ascii="方正书宋_GBK" w:eastAsia="方正书宋_GBK"/>
              </w:rPr>
            </w:pPr>
          </w:p>
        </w:tc>
      </w:tr>
      <w:tr w14:paraId="1280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1585" w:type="dxa"/>
            <w:tcBorders>
              <w:top w:val="single" w:color="000000" w:sz="6" w:space="0"/>
              <w:left w:val="single" w:color="000000" w:sz="6" w:space="0"/>
              <w:bottom w:val="single" w:color="000000" w:sz="6" w:space="0"/>
              <w:right w:val="single" w:color="000000" w:sz="6" w:space="0"/>
            </w:tcBorders>
            <w:noWrap w:val="0"/>
            <w:vAlign w:val="center"/>
          </w:tcPr>
          <w:p w14:paraId="0DDBC2C9">
            <w:pPr>
              <w:spacing w:line="300" w:lineRule="exact"/>
              <w:jc w:val="left"/>
              <w:rPr>
                <w:rFonts w:ascii="方正书宋_GBK" w:eastAsia="方正书宋_GBK"/>
              </w:rPr>
            </w:pPr>
          </w:p>
        </w:tc>
        <w:tc>
          <w:tcPr>
            <w:tcW w:w="800" w:type="dxa"/>
            <w:tcBorders>
              <w:top w:val="single" w:color="000000" w:sz="6" w:space="0"/>
              <w:left w:val="single" w:color="000000" w:sz="6" w:space="0"/>
              <w:bottom w:val="single" w:color="000000" w:sz="6" w:space="0"/>
              <w:right w:val="single" w:color="000000" w:sz="6" w:space="0"/>
            </w:tcBorders>
            <w:noWrap w:val="0"/>
            <w:vAlign w:val="center"/>
          </w:tcPr>
          <w:p w14:paraId="6FE20287">
            <w:pPr>
              <w:spacing w:line="300" w:lineRule="exact"/>
              <w:jc w:val="right"/>
              <w:rPr>
                <w:rFonts w:ascii="方正书宋_GBK" w:eastAsia="方正书宋_GBK"/>
              </w:rPr>
            </w:pPr>
          </w:p>
        </w:tc>
        <w:tc>
          <w:tcPr>
            <w:tcW w:w="1095" w:type="dxa"/>
            <w:tcBorders>
              <w:top w:val="single" w:color="000000" w:sz="6" w:space="0"/>
              <w:left w:val="single" w:color="000000" w:sz="6" w:space="0"/>
              <w:bottom w:val="single" w:color="000000" w:sz="6" w:space="0"/>
              <w:right w:val="single" w:color="000000" w:sz="6" w:space="0"/>
            </w:tcBorders>
            <w:noWrap w:val="0"/>
            <w:vAlign w:val="center"/>
          </w:tcPr>
          <w:p w14:paraId="7C0C9668">
            <w:pPr>
              <w:spacing w:line="300" w:lineRule="exact"/>
              <w:jc w:val="left"/>
              <w:rPr>
                <w:rFonts w:ascii="方正书宋_GBK" w:eastAsia="方正书宋_GBK"/>
              </w:rPr>
            </w:pPr>
          </w:p>
        </w:tc>
        <w:tc>
          <w:tcPr>
            <w:tcW w:w="1155" w:type="dxa"/>
            <w:tcBorders>
              <w:top w:val="single" w:color="000000" w:sz="6" w:space="0"/>
              <w:left w:val="single" w:color="000000" w:sz="6" w:space="0"/>
              <w:bottom w:val="single" w:color="000000" w:sz="6" w:space="0"/>
              <w:right w:val="single" w:color="000000" w:sz="6" w:space="0"/>
            </w:tcBorders>
            <w:noWrap w:val="0"/>
            <w:vAlign w:val="center"/>
          </w:tcPr>
          <w:p w14:paraId="673FA9B4">
            <w:pPr>
              <w:spacing w:line="300" w:lineRule="exact"/>
              <w:jc w:val="left"/>
              <w:rPr>
                <w:rFonts w:ascii="方正书宋_GBK" w:eastAsia="方正书宋_GBK"/>
              </w:rPr>
            </w:pPr>
          </w:p>
        </w:tc>
        <w:tc>
          <w:tcPr>
            <w:tcW w:w="675" w:type="dxa"/>
            <w:tcBorders>
              <w:top w:val="single" w:color="000000" w:sz="6" w:space="0"/>
              <w:left w:val="single" w:color="000000" w:sz="6" w:space="0"/>
              <w:bottom w:val="single" w:color="000000" w:sz="6" w:space="0"/>
              <w:right w:val="single" w:color="000000" w:sz="6" w:space="0"/>
            </w:tcBorders>
            <w:noWrap w:val="0"/>
            <w:vAlign w:val="center"/>
          </w:tcPr>
          <w:p w14:paraId="4F56D3C2">
            <w:pPr>
              <w:spacing w:line="300" w:lineRule="exact"/>
              <w:jc w:val="left"/>
              <w:rPr>
                <w:rFonts w:ascii="方正书宋_GBK" w:eastAsia="方正书宋_GBK"/>
              </w:rPr>
            </w:pPr>
          </w:p>
        </w:tc>
        <w:tc>
          <w:tcPr>
            <w:tcW w:w="649" w:type="dxa"/>
            <w:tcBorders>
              <w:top w:val="single" w:color="000000" w:sz="6" w:space="0"/>
              <w:left w:val="single" w:color="000000" w:sz="6" w:space="0"/>
              <w:bottom w:val="single" w:color="000000" w:sz="6" w:space="0"/>
              <w:right w:val="single" w:color="000000" w:sz="6" w:space="0"/>
            </w:tcBorders>
            <w:noWrap w:val="0"/>
            <w:vAlign w:val="center"/>
          </w:tcPr>
          <w:p w14:paraId="2ABF0656">
            <w:pPr>
              <w:spacing w:line="300" w:lineRule="exact"/>
              <w:jc w:val="right"/>
              <w:rPr>
                <w:rFonts w:ascii="方正书宋_GBK" w:eastAsia="方正书宋_GBK"/>
              </w:rPr>
            </w:pPr>
          </w:p>
        </w:tc>
        <w:tc>
          <w:tcPr>
            <w:tcW w:w="885" w:type="dxa"/>
            <w:tcBorders>
              <w:top w:val="single" w:color="000000" w:sz="6" w:space="0"/>
              <w:left w:val="single" w:color="000000" w:sz="6" w:space="0"/>
              <w:bottom w:val="single" w:color="000000" w:sz="6" w:space="0"/>
              <w:right w:val="single" w:color="000000" w:sz="6" w:space="0"/>
            </w:tcBorders>
            <w:noWrap w:val="0"/>
            <w:vAlign w:val="center"/>
          </w:tcPr>
          <w:p w14:paraId="0D243A9C">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noWrap w:val="0"/>
            <w:vAlign w:val="center"/>
          </w:tcPr>
          <w:p w14:paraId="73E8D400">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noWrap w:val="0"/>
            <w:vAlign w:val="center"/>
          </w:tcPr>
          <w:p w14:paraId="101F3300">
            <w:pPr>
              <w:spacing w:line="300" w:lineRule="exact"/>
              <w:jc w:val="right"/>
              <w:rPr>
                <w:rFonts w:ascii="方正书宋_GBK" w:eastAsia="方正书宋_GBK"/>
              </w:rPr>
            </w:pPr>
          </w:p>
        </w:tc>
        <w:tc>
          <w:tcPr>
            <w:tcW w:w="1185" w:type="dxa"/>
            <w:tcBorders>
              <w:top w:val="single" w:color="000000" w:sz="6" w:space="0"/>
              <w:left w:val="single" w:color="000000" w:sz="6" w:space="0"/>
              <w:bottom w:val="single" w:color="000000" w:sz="6" w:space="0"/>
              <w:right w:val="single" w:color="000000" w:sz="6" w:space="0"/>
            </w:tcBorders>
            <w:noWrap w:val="0"/>
            <w:vAlign w:val="center"/>
          </w:tcPr>
          <w:p w14:paraId="0794ECBF">
            <w:pPr>
              <w:spacing w:line="300" w:lineRule="exact"/>
              <w:jc w:val="right"/>
              <w:rPr>
                <w:rFonts w:ascii="方正书宋_GBK" w:eastAsia="方正书宋_GBK"/>
              </w:rPr>
            </w:pPr>
          </w:p>
        </w:tc>
        <w:tc>
          <w:tcPr>
            <w:tcW w:w="1020" w:type="dxa"/>
            <w:tcBorders>
              <w:top w:val="single" w:color="000000" w:sz="6" w:space="0"/>
              <w:left w:val="single" w:color="000000" w:sz="6" w:space="0"/>
              <w:bottom w:val="single" w:color="000000" w:sz="6" w:space="0"/>
              <w:right w:val="single" w:color="000000" w:sz="6" w:space="0"/>
            </w:tcBorders>
            <w:noWrap w:val="0"/>
            <w:vAlign w:val="center"/>
          </w:tcPr>
          <w:p w14:paraId="57A0A2CD">
            <w:pPr>
              <w:spacing w:line="300" w:lineRule="exact"/>
              <w:jc w:val="right"/>
              <w:rPr>
                <w:rFonts w:ascii="方正书宋_GBK" w:eastAsia="方正书宋_GBK"/>
              </w:rPr>
            </w:pPr>
          </w:p>
        </w:tc>
        <w:tc>
          <w:tcPr>
            <w:tcW w:w="990" w:type="dxa"/>
            <w:tcBorders>
              <w:top w:val="single" w:color="000000" w:sz="6" w:space="0"/>
              <w:left w:val="single" w:color="000000" w:sz="6" w:space="0"/>
              <w:bottom w:val="single" w:color="000000" w:sz="6" w:space="0"/>
              <w:right w:val="single" w:color="000000" w:sz="6" w:space="0"/>
            </w:tcBorders>
            <w:noWrap w:val="0"/>
            <w:vAlign w:val="center"/>
          </w:tcPr>
          <w:p w14:paraId="55A3634B">
            <w:pPr>
              <w:spacing w:line="300" w:lineRule="exact"/>
              <w:jc w:val="right"/>
              <w:rPr>
                <w:rFonts w:ascii="方正书宋_GBK" w:eastAsia="方正书宋_GBK"/>
              </w:rPr>
            </w:pPr>
          </w:p>
        </w:tc>
        <w:tc>
          <w:tcPr>
            <w:tcW w:w="870" w:type="dxa"/>
            <w:tcBorders>
              <w:top w:val="single" w:color="000000" w:sz="6" w:space="0"/>
              <w:left w:val="single" w:color="000000" w:sz="6" w:space="0"/>
              <w:bottom w:val="single" w:color="000000" w:sz="6" w:space="0"/>
              <w:right w:val="single" w:color="000000" w:sz="6" w:space="0"/>
            </w:tcBorders>
            <w:noWrap w:val="0"/>
            <w:vAlign w:val="center"/>
          </w:tcPr>
          <w:p w14:paraId="25DD31AE">
            <w:pPr>
              <w:spacing w:line="300" w:lineRule="exact"/>
              <w:jc w:val="right"/>
              <w:rPr>
                <w:rFonts w:ascii="方正书宋_GBK" w:eastAsia="方正书宋_GBK"/>
              </w:rPr>
            </w:pPr>
          </w:p>
        </w:tc>
        <w:tc>
          <w:tcPr>
            <w:tcW w:w="825" w:type="dxa"/>
            <w:tcBorders>
              <w:top w:val="single" w:color="000000" w:sz="6" w:space="0"/>
              <w:left w:val="single" w:color="000000" w:sz="6" w:space="0"/>
              <w:bottom w:val="single" w:color="000000" w:sz="6" w:space="0"/>
              <w:right w:val="single" w:color="000000" w:sz="6" w:space="0"/>
            </w:tcBorders>
            <w:noWrap w:val="0"/>
            <w:vAlign w:val="center"/>
          </w:tcPr>
          <w:p w14:paraId="59B62C74">
            <w:pPr>
              <w:spacing w:line="300" w:lineRule="exact"/>
              <w:jc w:val="right"/>
              <w:rPr>
                <w:rFonts w:ascii="方正书宋_GBK" w:eastAsia="方正书宋_GBK"/>
              </w:rPr>
            </w:pPr>
          </w:p>
        </w:tc>
      </w:tr>
    </w:tbl>
    <w:p w14:paraId="04F3DC13">
      <w:pPr>
        <w:ind w:firstLine="640"/>
        <w:rPr>
          <w:rFonts w:hint="eastAsia" w:ascii="仿宋_GB2312" w:eastAsia="仿宋_GB2312"/>
          <w:color w:val="000000"/>
          <w:szCs w:val="21"/>
        </w:rPr>
      </w:pPr>
      <w:r>
        <w:rPr>
          <w:rFonts w:hint="eastAsia" w:ascii="仿宋_GB2312" w:eastAsia="仿宋_GB2312"/>
          <w:color w:val="000000"/>
          <w:szCs w:val="21"/>
        </w:rPr>
        <w:t>注：无政府采购预算，空表列示</w:t>
      </w:r>
    </w:p>
    <w:p w14:paraId="56CE4C4E">
      <w:pPr>
        <w:ind w:firstLine="645"/>
        <w:outlineLvl w:val="0"/>
        <w:rPr>
          <w:rFonts w:hint="eastAsia" w:ascii="黑体" w:hAnsi="黑体" w:eastAsia="黑体"/>
          <w:sz w:val="32"/>
          <w:szCs w:val="32"/>
        </w:rPr>
      </w:pPr>
    </w:p>
    <w:p w14:paraId="23FA9C30">
      <w:pPr>
        <w:ind w:firstLine="645"/>
        <w:outlineLvl w:val="0"/>
        <w:rPr>
          <w:rFonts w:hint="eastAsia" w:ascii="仿宋" w:hAnsi="仿宋" w:eastAsia="仿宋"/>
          <w:sz w:val="32"/>
        </w:rPr>
      </w:pPr>
      <w:r>
        <w:rPr>
          <w:rFonts w:hint="eastAsia" w:ascii="黑体" w:hAnsi="黑体" w:eastAsia="黑体"/>
          <w:sz w:val="32"/>
          <w:szCs w:val="32"/>
        </w:rPr>
        <w:t>七、国有资产信息</w:t>
      </w:r>
    </w:p>
    <w:p w14:paraId="3326B326">
      <w:pPr>
        <w:ind w:firstLine="645"/>
        <w:outlineLvl w:val="0"/>
        <w:rPr>
          <w:rFonts w:ascii="仿宋" w:hAnsi="仿宋" w:eastAsia="仿宋"/>
          <w:sz w:val="32"/>
        </w:rPr>
      </w:pPr>
      <w:r>
        <w:rPr>
          <w:rFonts w:hint="eastAsia" w:ascii="仿宋" w:hAnsi="仿宋" w:eastAsia="仿宋"/>
          <w:sz w:val="32"/>
          <w:szCs w:val="32"/>
        </w:rPr>
        <w:t>2</w:t>
      </w:r>
      <w:r>
        <w:rPr>
          <w:rFonts w:ascii="仿宋" w:hAnsi="仿宋" w:eastAsia="仿宋"/>
          <w:sz w:val="32"/>
          <w:szCs w:val="32"/>
        </w:rPr>
        <w:t>019</w:t>
      </w:r>
      <w:r>
        <w:rPr>
          <w:rFonts w:hint="eastAsia" w:ascii="仿宋" w:hAnsi="仿宋" w:eastAsia="仿宋"/>
          <w:sz w:val="32"/>
          <w:szCs w:val="32"/>
        </w:rPr>
        <w:t>年度末固定资产金额为144.05万元（详见下表）。本年度拟购置的固定资产为0万元。</w:t>
      </w:r>
    </w:p>
    <w:tbl>
      <w:tblPr>
        <w:tblStyle w:val="5"/>
        <w:tblW w:w="0" w:type="auto"/>
        <w:tblInd w:w="93" w:type="dxa"/>
        <w:tblLayout w:type="fixed"/>
        <w:tblCellMar>
          <w:top w:w="0" w:type="dxa"/>
          <w:left w:w="108" w:type="dxa"/>
          <w:bottom w:w="0" w:type="dxa"/>
          <w:right w:w="108" w:type="dxa"/>
        </w:tblCellMar>
      </w:tblPr>
      <w:tblGrid>
        <w:gridCol w:w="5224"/>
        <w:gridCol w:w="3155"/>
        <w:gridCol w:w="5103"/>
      </w:tblGrid>
      <w:tr w14:paraId="4144E4EA">
        <w:tblPrEx>
          <w:tblCellMar>
            <w:top w:w="0" w:type="dxa"/>
            <w:left w:w="108" w:type="dxa"/>
            <w:bottom w:w="0" w:type="dxa"/>
            <w:right w:w="108" w:type="dxa"/>
          </w:tblCellMar>
        </w:tblPrEx>
        <w:trPr>
          <w:wBefore w:w="0" w:type="dxa"/>
          <w:trHeight w:val="705" w:hRule="atLeast"/>
        </w:trPr>
        <w:tc>
          <w:tcPr>
            <w:tcW w:w="13482" w:type="dxa"/>
            <w:gridSpan w:val="3"/>
            <w:tcBorders>
              <w:top w:val="nil"/>
              <w:left w:val="nil"/>
              <w:bottom w:val="nil"/>
              <w:right w:val="nil"/>
            </w:tcBorders>
            <w:noWrap w:val="0"/>
            <w:vAlign w:val="center"/>
          </w:tcPr>
          <w:p w14:paraId="0544AA93">
            <w:pPr>
              <w:widowControl/>
              <w:jc w:val="center"/>
              <w:rPr>
                <w:rFonts w:ascii="宋体" w:hAnsi="宋体" w:cs="宋体"/>
                <w:b/>
                <w:bCs/>
                <w:kern w:val="0"/>
                <w:sz w:val="32"/>
                <w:szCs w:val="32"/>
              </w:rPr>
            </w:pPr>
          </w:p>
        </w:tc>
      </w:tr>
      <w:tr w14:paraId="4ABF0881">
        <w:tblPrEx>
          <w:tblCellMar>
            <w:top w:w="0" w:type="dxa"/>
            <w:left w:w="108" w:type="dxa"/>
            <w:bottom w:w="0" w:type="dxa"/>
            <w:right w:w="108" w:type="dxa"/>
          </w:tblCellMar>
        </w:tblPrEx>
        <w:trPr>
          <w:wBefore w:w="0" w:type="dxa"/>
          <w:trHeight w:val="510" w:hRule="atLeast"/>
        </w:trPr>
        <w:tc>
          <w:tcPr>
            <w:tcW w:w="8379" w:type="dxa"/>
            <w:gridSpan w:val="2"/>
            <w:tcBorders>
              <w:top w:val="nil"/>
              <w:left w:val="nil"/>
              <w:bottom w:val="nil"/>
              <w:right w:val="nil"/>
            </w:tcBorders>
            <w:noWrap w:val="0"/>
            <w:vAlign w:val="center"/>
          </w:tcPr>
          <w:p w14:paraId="1DA9C215">
            <w:pPr>
              <w:widowControl/>
              <w:jc w:val="left"/>
              <w:rPr>
                <w:rFonts w:ascii="宋体" w:hAnsi="宋体" w:cs="宋体"/>
                <w:kern w:val="0"/>
                <w:sz w:val="22"/>
              </w:rPr>
            </w:pPr>
            <w:r>
              <w:rPr>
                <w:rFonts w:hint="eastAsia" w:ascii="宋体" w:hAnsi="宋体" w:cs="宋体"/>
                <w:kern w:val="0"/>
                <w:sz w:val="22"/>
              </w:rPr>
              <w:t>编制部门：905深泽县白庄乡人民政府</w:t>
            </w:r>
          </w:p>
        </w:tc>
        <w:tc>
          <w:tcPr>
            <w:tcW w:w="5103" w:type="dxa"/>
            <w:tcBorders>
              <w:top w:val="nil"/>
              <w:left w:val="nil"/>
              <w:bottom w:val="nil"/>
              <w:right w:val="nil"/>
            </w:tcBorders>
            <w:noWrap w:val="0"/>
            <w:vAlign w:val="center"/>
          </w:tcPr>
          <w:p w14:paraId="1E999A16">
            <w:pPr>
              <w:widowControl/>
              <w:jc w:val="left"/>
              <w:rPr>
                <w:rFonts w:ascii="宋体" w:hAnsi="宋体" w:cs="宋体"/>
                <w:kern w:val="0"/>
                <w:sz w:val="22"/>
              </w:rPr>
            </w:pPr>
            <w:r>
              <w:rPr>
                <w:rFonts w:hint="eastAsia" w:ascii="宋体" w:hAnsi="宋体" w:cs="宋体"/>
                <w:kern w:val="0"/>
                <w:sz w:val="22"/>
              </w:rPr>
              <w:t xml:space="preserve">截止时间：2019年12月31日  </w:t>
            </w:r>
          </w:p>
        </w:tc>
      </w:tr>
      <w:tr w14:paraId="11ADECB9">
        <w:tblPrEx>
          <w:tblCellMar>
            <w:top w:w="0" w:type="dxa"/>
            <w:left w:w="108" w:type="dxa"/>
            <w:bottom w:w="0" w:type="dxa"/>
            <w:right w:w="108" w:type="dxa"/>
          </w:tblCellMar>
        </w:tblPrEx>
        <w:trPr>
          <w:wBefore w:w="0" w:type="dxa"/>
          <w:trHeight w:val="645" w:hRule="atLeast"/>
        </w:trPr>
        <w:tc>
          <w:tcPr>
            <w:tcW w:w="5224" w:type="dxa"/>
            <w:tcBorders>
              <w:top w:val="single" w:color="auto" w:sz="4" w:space="0"/>
              <w:left w:val="single" w:color="auto" w:sz="4" w:space="0"/>
              <w:bottom w:val="single" w:color="auto" w:sz="4" w:space="0"/>
              <w:right w:val="single" w:color="auto" w:sz="4" w:space="0"/>
            </w:tcBorders>
            <w:noWrap w:val="0"/>
            <w:vAlign w:val="center"/>
          </w:tcPr>
          <w:p w14:paraId="7C288D92">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noWrap w:val="0"/>
            <w:vAlign w:val="center"/>
          </w:tcPr>
          <w:p w14:paraId="72E5FFA2">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14:paraId="7161CBCC">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7E920277">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4CE85BD4">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0"/>
            <w:vAlign w:val="center"/>
          </w:tcPr>
          <w:p w14:paraId="7F802B20">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noWrap w:val="0"/>
            <w:vAlign w:val="center"/>
          </w:tcPr>
          <w:p w14:paraId="78ACE53C">
            <w:pPr>
              <w:widowControl/>
              <w:jc w:val="center"/>
              <w:rPr>
                <w:rFonts w:ascii="宋体" w:hAnsi="宋体" w:cs="宋体"/>
                <w:kern w:val="0"/>
                <w:sz w:val="22"/>
              </w:rPr>
            </w:pPr>
            <w:r>
              <w:rPr>
                <w:rFonts w:hint="eastAsia" w:ascii="宋体" w:hAnsi="宋体" w:cs="宋体"/>
                <w:kern w:val="0"/>
                <w:sz w:val="22"/>
              </w:rPr>
              <w:t>144.05</w:t>
            </w:r>
          </w:p>
        </w:tc>
      </w:tr>
      <w:tr w14:paraId="5BB32342">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04B18123">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noWrap w:val="0"/>
            <w:vAlign w:val="center"/>
          </w:tcPr>
          <w:p w14:paraId="25BA793E">
            <w:pPr>
              <w:widowControl/>
              <w:jc w:val="center"/>
              <w:rPr>
                <w:rFonts w:ascii="宋体" w:hAnsi="宋体" w:cs="宋体"/>
                <w:kern w:val="0"/>
                <w:sz w:val="22"/>
              </w:rPr>
            </w:pPr>
            <w:r>
              <w:rPr>
                <w:rFonts w:hint="eastAsia" w:ascii="宋体" w:hAnsi="宋体" w:cs="宋体"/>
                <w:kern w:val="0"/>
                <w:sz w:val="22"/>
              </w:rPr>
              <w:t>1000</w:t>
            </w:r>
          </w:p>
        </w:tc>
        <w:tc>
          <w:tcPr>
            <w:tcW w:w="5103" w:type="dxa"/>
            <w:tcBorders>
              <w:top w:val="nil"/>
              <w:left w:val="nil"/>
              <w:bottom w:val="single" w:color="auto" w:sz="4" w:space="0"/>
              <w:right w:val="single" w:color="auto" w:sz="4" w:space="0"/>
            </w:tcBorders>
            <w:noWrap w:val="0"/>
            <w:vAlign w:val="center"/>
          </w:tcPr>
          <w:p w14:paraId="35406E92">
            <w:pPr>
              <w:widowControl/>
              <w:jc w:val="center"/>
              <w:rPr>
                <w:rFonts w:ascii="宋体" w:hAnsi="宋体" w:cs="宋体"/>
                <w:kern w:val="0"/>
                <w:sz w:val="22"/>
              </w:rPr>
            </w:pPr>
            <w:r>
              <w:rPr>
                <w:rFonts w:hint="eastAsia" w:ascii="宋体" w:hAnsi="宋体" w:cs="宋体"/>
                <w:kern w:val="0"/>
                <w:sz w:val="22"/>
              </w:rPr>
              <w:t>26.1</w:t>
            </w:r>
          </w:p>
        </w:tc>
      </w:tr>
      <w:tr w14:paraId="24BF089C">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B59F0A8">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noWrap w:val="0"/>
            <w:vAlign w:val="center"/>
          </w:tcPr>
          <w:p w14:paraId="38895DC1">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noWrap w:val="0"/>
            <w:vAlign w:val="center"/>
          </w:tcPr>
          <w:p w14:paraId="478AA004">
            <w:pPr>
              <w:widowControl/>
              <w:jc w:val="center"/>
              <w:rPr>
                <w:rFonts w:ascii="宋体" w:hAnsi="宋体" w:cs="宋体"/>
                <w:kern w:val="0"/>
                <w:sz w:val="22"/>
              </w:rPr>
            </w:pPr>
          </w:p>
        </w:tc>
      </w:tr>
      <w:tr w14:paraId="0CD7958A">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84CBC23">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noWrap w:val="0"/>
            <w:vAlign w:val="center"/>
          </w:tcPr>
          <w:p w14:paraId="5589751E">
            <w:pPr>
              <w:widowControl/>
              <w:jc w:val="center"/>
              <w:rPr>
                <w:rFonts w:hint="eastAsia" w:ascii="宋体" w:hAnsi="宋体" w:cs="宋体"/>
                <w:kern w:val="0"/>
                <w:sz w:val="22"/>
              </w:rPr>
            </w:pPr>
            <w:r>
              <w:rPr>
                <w:rFonts w:hint="eastAsia" w:ascii="宋体" w:hAnsi="宋体" w:cs="宋体"/>
                <w:kern w:val="0"/>
                <w:sz w:val="22"/>
              </w:rPr>
              <w:t>1</w:t>
            </w:r>
          </w:p>
        </w:tc>
        <w:tc>
          <w:tcPr>
            <w:tcW w:w="5103" w:type="dxa"/>
            <w:tcBorders>
              <w:top w:val="nil"/>
              <w:left w:val="nil"/>
              <w:bottom w:val="single" w:color="auto" w:sz="4" w:space="0"/>
              <w:right w:val="single" w:color="auto" w:sz="4" w:space="0"/>
            </w:tcBorders>
            <w:noWrap w:val="0"/>
            <w:vAlign w:val="center"/>
          </w:tcPr>
          <w:p w14:paraId="11C6C0DD">
            <w:pPr>
              <w:widowControl/>
              <w:jc w:val="center"/>
              <w:rPr>
                <w:rFonts w:ascii="宋体" w:hAnsi="宋体" w:cs="宋体"/>
                <w:kern w:val="0"/>
                <w:sz w:val="22"/>
              </w:rPr>
            </w:pPr>
            <w:r>
              <w:rPr>
                <w:rFonts w:hint="eastAsia" w:ascii="宋体" w:hAnsi="宋体" w:cs="宋体"/>
                <w:kern w:val="0"/>
                <w:sz w:val="22"/>
              </w:rPr>
              <w:t>9.45</w:t>
            </w:r>
          </w:p>
        </w:tc>
      </w:tr>
      <w:tr w14:paraId="172C3E30">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1B2E117">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14:paraId="75C1CEE9">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noWrap w:val="0"/>
            <w:vAlign w:val="center"/>
          </w:tcPr>
          <w:p w14:paraId="7B4E6C44">
            <w:pPr>
              <w:widowControl/>
              <w:jc w:val="center"/>
              <w:rPr>
                <w:rFonts w:ascii="宋体" w:hAnsi="宋体" w:cs="宋体"/>
                <w:kern w:val="0"/>
                <w:sz w:val="22"/>
              </w:rPr>
            </w:pPr>
          </w:p>
        </w:tc>
      </w:tr>
      <w:tr w14:paraId="7793DE2B">
        <w:tblPrEx>
          <w:tblCellMar>
            <w:top w:w="0" w:type="dxa"/>
            <w:left w:w="108" w:type="dxa"/>
            <w:bottom w:w="0" w:type="dxa"/>
            <w:right w:w="108" w:type="dxa"/>
          </w:tblCellMar>
        </w:tblPrEx>
        <w:trPr>
          <w:wBefore w:w="0" w:type="dxa"/>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5F428A9">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noWrap w:val="0"/>
            <w:vAlign w:val="center"/>
          </w:tcPr>
          <w:p w14:paraId="03DC3D6F">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noWrap w:val="0"/>
            <w:vAlign w:val="center"/>
          </w:tcPr>
          <w:p w14:paraId="6E6D3409">
            <w:pPr>
              <w:widowControl/>
              <w:jc w:val="center"/>
              <w:rPr>
                <w:rFonts w:ascii="宋体" w:hAnsi="宋体" w:cs="宋体"/>
                <w:kern w:val="0"/>
                <w:sz w:val="22"/>
              </w:rPr>
            </w:pPr>
            <w:r>
              <w:rPr>
                <w:rFonts w:hint="eastAsia" w:ascii="宋体" w:hAnsi="宋体" w:cs="宋体"/>
                <w:kern w:val="0"/>
                <w:sz w:val="22"/>
              </w:rPr>
              <w:t>108.5</w:t>
            </w:r>
          </w:p>
        </w:tc>
      </w:tr>
    </w:tbl>
    <w:p w14:paraId="496CD037">
      <w:pPr>
        <w:ind w:firstLine="645"/>
        <w:outlineLvl w:val="0"/>
        <w:rPr>
          <w:rFonts w:hint="eastAsia" w:ascii="黑体" w:hAnsi="黑体" w:eastAsia="黑体"/>
          <w:sz w:val="32"/>
          <w:szCs w:val="32"/>
        </w:rPr>
      </w:pPr>
    </w:p>
    <w:p w14:paraId="4077CADE">
      <w:pPr>
        <w:ind w:firstLine="645"/>
        <w:outlineLvl w:val="0"/>
        <w:rPr>
          <w:rFonts w:hint="eastAsia" w:ascii="黑体" w:hAnsi="黑体" w:eastAsia="黑体"/>
          <w:sz w:val="32"/>
          <w:szCs w:val="32"/>
        </w:rPr>
      </w:pPr>
    </w:p>
    <w:p w14:paraId="3A8B729F">
      <w:pPr>
        <w:ind w:firstLine="645"/>
        <w:outlineLvl w:val="0"/>
        <w:rPr>
          <w:rFonts w:hint="eastAsia" w:ascii="黑体" w:hAnsi="黑体" w:eastAsia="黑体"/>
          <w:sz w:val="32"/>
          <w:szCs w:val="32"/>
        </w:rPr>
      </w:pPr>
      <w:r>
        <w:rPr>
          <w:rFonts w:hint="eastAsia" w:ascii="黑体" w:hAnsi="黑体" w:eastAsia="黑体"/>
          <w:sz w:val="32"/>
          <w:szCs w:val="32"/>
        </w:rPr>
        <w:t>八、名词解释</w:t>
      </w:r>
    </w:p>
    <w:p w14:paraId="169C4949">
      <w:pPr>
        <w:ind w:firstLine="640" w:firstLineChars="200"/>
        <w:rPr>
          <w:rFonts w:eastAsia="仿宋"/>
          <w:sz w:val="32"/>
          <w:szCs w:val="32"/>
        </w:rPr>
      </w:pPr>
      <w:r>
        <w:rPr>
          <w:rFonts w:hint="eastAsia" w:eastAsia="仿宋"/>
          <w:sz w:val="32"/>
          <w:szCs w:val="32"/>
        </w:rPr>
        <w:t>1、一般公共预算拨款收入：指县级财政当年拨付的资金。</w:t>
      </w:r>
    </w:p>
    <w:p w14:paraId="1A270887">
      <w:pPr>
        <w:ind w:firstLine="640" w:firstLineChars="200"/>
        <w:rPr>
          <w:rFonts w:eastAsia="仿宋"/>
          <w:sz w:val="32"/>
          <w:szCs w:val="32"/>
        </w:rPr>
      </w:pPr>
      <w:r>
        <w:rPr>
          <w:rFonts w:hint="eastAsia" w:eastAsia="仿宋"/>
          <w:sz w:val="32"/>
          <w:szCs w:val="32"/>
        </w:rPr>
        <w:t>2、事业收入：指事业单位开展专业业务活动及辅助活动所取得的收入。</w:t>
      </w:r>
    </w:p>
    <w:p w14:paraId="1F1034DE">
      <w:pPr>
        <w:ind w:firstLine="640" w:firstLineChars="200"/>
        <w:rPr>
          <w:rFonts w:eastAsia="仿宋"/>
          <w:sz w:val="32"/>
          <w:szCs w:val="32"/>
        </w:rPr>
      </w:pPr>
      <w:r>
        <w:rPr>
          <w:rFonts w:hint="eastAsia" w:eastAsia="仿宋"/>
          <w:sz w:val="32"/>
          <w:szCs w:val="32"/>
        </w:rPr>
        <w:t>3、其他收入：指除“一般公共预算拨款收入”、“事业收入”等以外的收入。主要是按规定动用的租房收入、存款利息收入等。</w:t>
      </w:r>
    </w:p>
    <w:p w14:paraId="598A7D9D">
      <w:pPr>
        <w:ind w:firstLine="640" w:firstLineChars="200"/>
        <w:rPr>
          <w:rFonts w:eastAsia="仿宋"/>
          <w:sz w:val="32"/>
          <w:szCs w:val="32"/>
        </w:rPr>
      </w:pPr>
      <w:r>
        <w:rPr>
          <w:rFonts w:hint="eastAsia" w:eastAsia="仿宋"/>
          <w:sz w:val="32"/>
          <w:szCs w:val="32"/>
        </w:rPr>
        <w:t>4、基本支出：指为保障机构正常运转、完成日常工作任务而发生的人员支出和公用支出。</w:t>
      </w:r>
    </w:p>
    <w:p w14:paraId="2BE03B5D">
      <w:pPr>
        <w:ind w:firstLine="640" w:firstLineChars="200"/>
        <w:rPr>
          <w:rFonts w:eastAsia="仿宋"/>
          <w:sz w:val="32"/>
          <w:szCs w:val="32"/>
        </w:rPr>
      </w:pPr>
      <w:r>
        <w:rPr>
          <w:rFonts w:hint="eastAsia" w:eastAsia="仿宋"/>
          <w:sz w:val="32"/>
          <w:szCs w:val="32"/>
        </w:rPr>
        <w:t>5、项目支出：指在基本支出之外为完成特定行政任务和事业发展目标所发生的支出。</w:t>
      </w:r>
    </w:p>
    <w:p w14:paraId="06C99CF9">
      <w:pPr>
        <w:ind w:firstLine="640" w:firstLineChars="200"/>
        <w:rPr>
          <w:rFonts w:eastAsia="仿宋"/>
          <w:sz w:val="32"/>
          <w:szCs w:val="32"/>
        </w:rPr>
      </w:pPr>
      <w:r>
        <w:rPr>
          <w:rFonts w:hint="eastAsia" w:eastAsia="仿宋"/>
          <w:sz w:val="32"/>
          <w:szCs w:val="32"/>
        </w:rPr>
        <w:t>6、上缴上级支出：指下级单位上缴上级的支出。</w:t>
      </w:r>
    </w:p>
    <w:p w14:paraId="1805AEA2">
      <w:pPr>
        <w:ind w:firstLine="640" w:firstLineChars="200"/>
        <w:rPr>
          <w:rFonts w:eastAsia="仿宋"/>
          <w:sz w:val="32"/>
          <w:szCs w:val="32"/>
        </w:rPr>
      </w:pPr>
      <w:r>
        <w:rPr>
          <w:rFonts w:hint="eastAsia" w:eastAsia="仿宋"/>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4EB8A4A">
      <w:pPr>
        <w:ind w:firstLine="640" w:firstLineChars="200"/>
        <w:rPr>
          <w:rFonts w:eastAsia="仿宋"/>
          <w:sz w:val="32"/>
          <w:szCs w:val="32"/>
        </w:rPr>
      </w:pPr>
      <w:r>
        <w:rPr>
          <w:rFonts w:hint="eastAsia"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DE52D45">
      <w:pPr>
        <w:ind w:firstLine="640" w:firstLineChars="200"/>
        <w:rPr>
          <w:rFonts w:eastAsia="仿宋"/>
          <w:sz w:val="32"/>
          <w:szCs w:val="32"/>
        </w:rPr>
      </w:pPr>
      <w:r>
        <w:rPr>
          <w:rFonts w:hint="eastAsia" w:eastAsia="仿宋"/>
          <w:sz w:val="32"/>
          <w:szCs w:val="32"/>
        </w:rPr>
        <w:t>9、上年结转：指以前年度尚未完成、结转到本年仍按原规定用途继续使用的资金。</w:t>
      </w:r>
    </w:p>
    <w:p w14:paraId="4EDA2BCA">
      <w:pPr>
        <w:ind w:firstLine="640" w:firstLineChars="200"/>
        <w:rPr>
          <w:rFonts w:eastAsia="仿宋"/>
          <w:sz w:val="32"/>
          <w:szCs w:val="32"/>
        </w:rPr>
      </w:pPr>
      <w:r>
        <w:rPr>
          <w:rFonts w:hint="eastAsia" w:eastAsia="仿宋"/>
          <w:sz w:val="32"/>
          <w:szCs w:val="32"/>
        </w:rPr>
        <w:t>10、事业单位经营支出：指事业单位在专业业务活动及其辅助活动之外开展非独立核算经营活动发生的支出。</w:t>
      </w:r>
    </w:p>
    <w:p w14:paraId="7307F4A5">
      <w:pPr>
        <w:ind w:firstLine="640" w:firstLineChars="200"/>
        <w:rPr>
          <w:rFonts w:hint="eastAsia" w:ascii="仿宋" w:hAnsi="仿宋" w:eastAsia="仿宋" w:cs="仿宋"/>
          <w:sz w:val="32"/>
          <w:szCs w:val="32"/>
        </w:rPr>
      </w:pPr>
      <w:r>
        <w:rPr>
          <w:rFonts w:hint="eastAsia" w:ascii="黑体" w:hAnsi="黑体" w:eastAsia="黑体"/>
          <w:sz w:val="32"/>
          <w:szCs w:val="32"/>
        </w:rPr>
        <w:t>九、其他需要说明的事项：</w:t>
      </w:r>
      <w:r>
        <w:rPr>
          <w:rFonts w:hint="eastAsia" w:ascii="仿宋" w:hAnsi="仿宋" w:eastAsia="仿宋" w:cs="仿宋"/>
          <w:sz w:val="32"/>
          <w:szCs w:val="32"/>
        </w:rPr>
        <w:t>我单位没有安排政府性基金预算和国有资本经营预算财政拨款，特此说明。</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1" w:usb1="080E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3E9F4">
    <w:pPr>
      <w:pStyle w:val="2"/>
      <w:framePr w:wrap="around" w:vAnchor="text" w:hAnchor="margin" w:xAlign="outside" w:y="1"/>
      <w:rPr>
        <w:rStyle w:val="9"/>
      </w:rPr>
    </w:pPr>
    <w:r>
      <w:fldChar w:fldCharType="begin"/>
    </w:r>
    <w:r>
      <w:rPr>
        <w:rStyle w:val="9"/>
      </w:rPr>
      <w:instrText xml:space="preserve">PAGE  </w:instrText>
    </w:r>
    <w:r>
      <w:fldChar w:fldCharType="separate"/>
    </w:r>
    <w:r>
      <w:rPr>
        <w:rStyle w:val="9"/>
        <w:lang/>
      </w:rPr>
      <w:t>11</w:t>
    </w:r>
    <w:r>
      <w:fldChar w:fldCharType="end"/>
    </w:r>
  </w:p>
  <w:p w14:paraId="1B7DBDB3">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FE2B1D"/>
    <w:multiLevelType w:val="singleLevel"/>
    <w:tmpl w:val="A3FE2B1D"/>
    <w:lvl w:ilvl="0" w:tentative="0">
      <w:start w:val="1"/>
      <w:numFmt w:val="decimal"/>
      <w:suff w:val="nothing"/>
      <w:lvlText w:val="%1、"/>
      <w:lvlJc w:val="left"/>
    </w:lvl>
  </w:abstractNum>
  <w:abstractNum w:abstractNumId="1">
    <w:nsid w:val="58818F2D"/>
    <w:multiLevelType w:val="singleLevel"/>
    <w:tmpl w:val="58818F2D"/>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3164"/>
    <w:rsid w:val="00006F09"/>
    <w:rsid w:val="000651E5"/>
    <w:rsid w:val="000710C3"/>
    <w:rsid w:val="000722E4"/>
    <w:rsid w:val="000A0E1B"/>
    <w:rsid w:val="0010618C"/>
    <w:rsid w:val="00125670"/>
    <w:rsid w:val="00130055"/>
    <w:rsid w:val="00155337"/>
    <w:rsid w:val="00185FC8"/>
    <w:rsid w:val="001A222A"/>
    <w:rsid w:val="001B29D4"/>
    <w:rsid w:val="001C5A86"/>
    <w:rsid w:val="001D48B1"/>
    <w:rsid w:val="001E23B9"/>
    <w:rsid w:val="001E2EDB"/>
    <w:rsid w:val="001F2069"/>
    <w:rsid w:val="00211FDF"/>
    <w:rsid w:val="00290646"/>
    <w:rsid w:val="00290FE2"/>
    <w:rsid w:val="002C4453"/>
    <w:rsid w:val="002D1569"/>
    <w:rsid w:val="002D3F73"/>
    <w:rsid w:val="003212DD"/>
    <w:rsid w:val="003D7D46"/>
    <w:rsid w:val="00416E52"/>
    <w:rsid w:val="00442565"/>
    <w:rsid w:val="004451EA"/>
    <w:rsid w:val="00451B96"/>
    <w:rsid w:val="004E3A49"/>
    <w:rsid w:val="0052743B"/>
    <w:rsid w:val="005443B0"/>
    <w:rsid w:val="005443B3"/>
    <w:rsid w:val="005A42CA"/>
    <w:rsid w:val="005B00FB"/>
    <w:rsid w:val="005B12F8"/>
    <w:rsid w:val="00646718"/>
    <w:rsid w:val="006540CC"/>
    <w:rsid w:val="00677ECC"/>
    <w:rsid w:val="00775D1F"/>
    <w:rsid w:val="0079016C"/>
    <w:rsid w:val="007955EE"/>
    <w:rsid w:val="007D61C7"/>
    <w:rsid w:val="008432BE"/>
    <w:rsid w:val="008664E4"/>
    <w:rsid w:val="00893DD8"/>
    <w:rsid w:val="008B61F9"/>
    <w:rsid w:val="008C15AE"/>
    <w:rsid w:val="00920EFE"/>
    <w:rsid w:val="009263EB"/>
    <w:rsid w:val="00935987"/>
    <w:rsid w:val="00972F1C"/>
    <w:rsid w:val="009D55D2"/>
    <w:rsid w:val="00A962EA"/>
    <w:rsid w:val="00AB6A99"/>
    <w:rsid w:val="00AC09F0"/>
    <w:rsid w:val="00AD4112"/>
    <w:rsid w:val="00B35CB1"/>
    <w:rsid w:val="00BC4E50"/>
    <w:rsid w:val="00BC75FF"/>
    <w:rsid w:val="00BD77CA"/>
    <w:rsid w:val="00C675C4"/>
    <w:rsid w:val="00CA71FC"/>
    <w:rsid w:val="00CC3A73"/>
    <w:rsid w:val="00CD31A4"/>
    <w:rsid w:val="00CF3BAA"/>
    <w:rsid w:val="00D16E15"/>
    <w:rsid w:val="00D44725"/>
    <w:rsid w:val="00D55416"/>
    <w:rsid w:val="00D64F3E"/>
    <w:rsid w:val="00E52BF7"/>
    <w:rsid w:val="00E86C3C"/>
    <w:rsid w:val="00EA0F89"/>
    <w:rsid w:val="00F15078"/>
    <w:rsid w:val="00F416B7"/>
    <w:rsid w:val="00F539DE"/>
    <w:rsid w:val="00F73A5E"/>
    <w:rsid w:val="00F92D91"/>
    <w:rsid w:val="01703E36"/>
    <w:rsid w:val="0298330C"/>
    <w:rsid w:val="03437958"/>
    <w:rsid w:val="05C75BB9"/>
    <w:rsid w:val="0A6814A5"/>
    <w:rsid w:val="0A807D32"/>
    <w:rsid w:val="0B4C2DCE"/>
    <w:rsid w:val="0C4B3B57"/>
    <w:rsid w:val="12D33DCB"/>
    <w:rsid w:val="175C3416"/>
    <w:rsid w:val="1C316922"/>
    <w:rsid w:val="1D0D611E"/>
    <w:rsid w:val="217270DC"/>
    <w:rsid w:val="2320304F"/>
    <w:rsid w:val="257F5279"/>
    <w:rsid w:val="2AA36DDA"/>
    <w:rsid w:val="2D641597"/>
    <w:rsid w:val="2DC8130E"/>
    <w:rsid w:val="336B746D"/>
    <w:rsid w:val="33A419C5"/>
    <w:rsid w:val="354D1339"/>
    <w:rsid w:val="373B12B8"/>
    <w:rsid w:val="38401F5A"/>
    <w:rsid w:val="3F4A0D26"/>
    <w:rsid w:val="40C25981"/>
    <w:rsid w:val="43452005"/>
    <w:rsid w:val="46694380"/>
    <w:rsid w:val="47F36501"/>
    <w:rsid w:val="4A5401E2"/>
    <w:rsid w:val="532C51BE"/>
    <w:rsid w:val="5C3450F2"/>
    <w:rsid w:val="5D9D5BAC"/>
    <w:rsid w:val="5ED23A07"/>
    <w:rsid w:val="620A5CB1"/>
    <w:rsid w:val="63F101F5"/>
    <w:rsid w:val="687B5CEB"/>
    <w:rsid w:val="6A553A35"/>
    <w:rsid w:val="6EA80E51"/>
    <w:rsid w:val="6F5911B6"/>
    <w:rsid w:val="701909E1"/>
    <w:rsid w:val="71B5736A"/>
    <w:rsid w:val="74A42CDC"/>
    <w:rsid w:val="78514FC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6">
    <w:name w:val="Default Paragraph Font"/>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2">
    <w:name w:val="footer"/>
    <w:basedOn w:val="1"/>
    <w:link w:val="13"/>
    <w:uiPriority w:val="0"/>
    <w:pPr>
      <w:tabs>
        <w:tab w:val="center" w:pos="4153"/>
        <w:tab w:val="right" w:pos="8306"/>
      </w:tabs>
      <w:snapToGrid w:val="0"/>
      <w:jc w:val="left"/>
    </w:pPr>
    <w:rPr>
      <w:sz w:val="18"/>
      <w:szCs w:val="18"/>
    </w:rPr>
  </w:style>
  <w:style w:type="paragraph" w:styleId="3">
    <w:name w:val="header"/>
    <w:basedOn w:val="1"/>
    <w:link w:val="12"/>
    <w:uiPriority w:val="0"/>
    <w:pPr>
      <w:pBdr>
        <w:bottom w:val="single" w:color="auto" w:sz="6" w:space="1"/>
      </w:pBdr>
      <w:tabs>
        <w:tab w:val="center" w:pos="4153"/>
        <w:tab w:val="right" w:pos="8306"/>
      </w:tabs>
      <w:snapToGrid w:val="0"/>
      <w:jc w:val="center"/>
    </w:pPr>
    <w:rPr>
      <w:sz w:val="18"/>
      <w:szCs w:val="18"/>
    </w:rPr>
  </w:style>
  <w:style w:type="paragraph" w:styleId="4">
    <w:name w:val="footnote text"/>
    <w:basedOn w:val="1"/>
    <w:uiPriority w:val="0"/>
    <w:pPr>
      <w:snapToGrid w:val="0"/>
      <w:jc w:val="left"/>
    </w:pPr>
    <w:rPr>
      <w:sz w:val="18"/>
      <w:szCs w:val="18"/>
    </w:rPr>
  </w:style>
  <w:style w:type="character" w:styleId="7">
    <w:name w:val="page number"/>
    <w:uiPriority w:val="0"/>
    <w:rPr>
      <w:rFonts w:hint="default"/>
      <w:sz w:val="24"/>
    </w:rPr>
  </w:style>
  <w:style w:type="character" w:styleId="8">
    <w:name w:val="footnote reference"/>
    <w:uiPriority w:val="0"/>
    <w:rPr>
      <w:vertAlign w:val="superscript"/>
    </w:rPr>
  </w:style>
  <w:style w:type="character" w:customStyle="1" w:styleId="9">
    <w:name w:val="页码1"/>
    <w:qFormat/>
    <w:uiPriority w:val="0"/>
  </w:style>
  <w:style w:type="character" w:customStyle="1" w:styleId="10">
    <w:name w:val="Ò³Ã¼ Char"/>
    <w:unhideWhenUsed/>
    <w:uiPriority w:val="99"/>
    <w:rPr>
      <w:rFonts w:hint="default"/>
      <w:sz w:val="24"/>
    </w:rPr>
  </w:style>
  <w:style w:type="character" w:customStyle="1" w:styleId="11">
    <w:name w:val="Ò³½Å Char"/>
    <w:unhideWhenUsed/>
    <w:uiPriority w:val="99"/>
    <w:rPr>
      <w:rFonts w:hint="default"/>
      <w:sz w:val="24"/>
    </w:rPr>
  </w:style>
  <w:style w:type="character" w:customStyle="1" w:styleId="12">
    <w:name w:val="页眉 字符"/>
    <w:link w:val="3"/>
    <w:uiPriority w:val="0"/>
    <w:rPr>
      <w:kern w:val="2"/>
      <w:sz w:val="18"/>
      <w:szCs w:val="18"/>
    </w:rPr>
  </w:style>
  <w:style w:type="character" w:customStyle="1" w:styleId="13">
    <w:name w:val="页脚 字符"/>
    <w:link w:val="2"/>
    <w:uiPriority w:val="0"/>
    <w:rPr>
      <w:kern w:val="2"/>
      <w:sz w:val="18"/>
      <w:szCs w:val="18"/>
    </w:rPr>
  </w:style>
  <w:style w:type="paragraph" w:customStyle="1" w:styleId="14">
    <w:name w:val="[Normal]"/>
    <w:unhideWhenUsed/>
    <w:uiPriority w:val="99"/>
    <w:pPr>
      <w:widowControl w:val="0"/>
      <w:autoSpaceDE w:val="0"/>
      <w:autoSpaceDN w:val="0"/>
      <w:adjustRightInd w:val="0"/>
    </w:pPr>
    <w:rPr>
      <w:rFonts w:hint="eastAsia" w:ascii="宋体" w:hAnsi="宋体"/>
      <w:sz w:val="24"/>
      <w:lang w:val="en-US" w:eastAsia="zh-CN" w:bidi="ar-SA"/>
    </w:rPr>
  </w:style>
  <w:style w:type="paragraph" w:customStyle="1" w:styleId="15">
    <w:name w:val="0"/>
    <w:basedOn w:val="1"/>
    <w:unhideWhenUsed/>
    <w:qFormat/>
    <w:uiPriority w:val="99"/>
    <w:pPr>
      <w:spacing w:beforeLines="0" w:afterLines="0" w:line="365" w:lineRule="atLeast"/>
      <w:ind w:left="1"/>
    </w:pPr>
    <w:rPr>
      <w:rFonts w:hint="default"/>
      <w:sz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3496</Words>
  <Characters>3639</Characters>
  <Lines>28</Lines>
  <Paragraphs>7</Paragraphs>
  <TotalTime>10</TotalTime>
  <ScaleCrop>false</ScaleCrop>
  <LinksUpToDate>false</LinksUpToDate>
  <CharactersWithSpaces>3667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2016-03-14T07:22:00Z</dcterms:created>
  <dc:creator>HF</dc:creator>
  <cp:lastModifiedBy>Administrator</cp:lastModifiedBy>
  <dcterms:modified xsi:type="dcterms:W3CDTF">2025-09-15T08:35:19Z</dcterms:modified>
  <dc:title>深泽县人民代表大会常务委员办公室</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eyJoZGlkIjoiNzlmYzU3NjZkYzE4OGYyM2QxNGFkNzkxNzk3NTVkZWIifQ==</vt:lpwstr>
  </property>
  <property fmtid="{D5CDD505-2E9C-101B-9397-08002B2CF9AE}" pid="4" name="ICV">
    <vt:lpwstr>1F531A41BF5543FE92B4635DC50DA27C_13</vt:lpwstr>
  </property>
</Properties>
</file>