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0EDE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firstLine="0" w:firstLine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b w:val="0"/>
          <w:bCs w:val="0"/>
          <w:spacing w:val="0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0"/>
          <w:sz w:val="44"/>
          <w:szCs w:val="44"/>
        </w:rPr>
        <w:t>深泽县人民政府</w:t>
      </w:r>
    </w:p>
    <w:p w14:paraId="1C19CF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firstLine="0" w:firstLine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b w:val="0"/>
          <w:bCs w:val="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0"/>
          <w:sz w:val="44"/>
          <w:szCs w:val="44"/>
        </w:rPr>
        <w:t>关于2025年上半年财政预算执行情况报告</w:t>
      </w:r>
    </w:p>
    <w:p w14:paraId="020FDA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楷体_GB2312" w:hAnsi="楷体_GB2312" w:eastAsia="楷体_GB2312" w:cs="楷体_GB2312"/>
          <w:bCs/>
          <w:color w:val="auto"/>
          <w:sz w:val="28"/>
          <w:szCs w:val="28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Cs/>
          <w:color w:val="auto"/>
          <w:sz w:val="28"/>
          <w:szCs w:val="28"/>
          <w:lang w:val="en-US" w:eastAsia="zh-CN"/>
        </w:rPr>
        <w:t>——</w:t>
      </w:r>
      <w:r>
        <w:rPr>
          <w:rFonts w:hint="eastAsia" w:ascii="楷体_GB2312" w:hAnsi="楷体_GB2312" w:eastAsia="楷体_GB2312" w:cs="楷体_GB2312"/>
          <w:bCs/>
          <w:color w:val="auto"/>
          <w:sz w:val="28"/>
          <w:szCs w:val="28"/>
          <w:lang w:val="en-US" w:eastAsia="zh-CN"/>
        </w:rPr>
        <w:t>2025年  月  日在深泽县十七届人大常委会第四十一次会议上</w:t>
      </w:r>
    </w:p>
    <w:p w14:paraId="3A8706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楷体_GB2312" w:hAnsi="楷体_GB2312" w:eastAsia="楷体_GB2312" w:cs="楷体_GB2312"/>
          <w:bCs/>
          <w:color w:val="auto"/>
          <w:sz w:val="28"/>
          <w:szCs w:val="28"/>
          <w:lang w:val="en-US" w:eastAsia="zh-CN"/>
        </w:rPr>
      </w:pPr>
      <w:r>
        <w:rPr>
          <w:rFonts w:hint="eastAsia" w:ascii="楷体_GB2312" w:hAnsi="楷体_GB2312" w:eastAsia="楷体_GB2312" w:cs="楷体_GB2312"/>
          <w:bCs/>
          <w:color w:val="auto"/>
          <w:sz w:val="28"/>
          <w:szCs w:val="28"/>
          <w:lang w:val="en-US" w:eastAsia="zh-CN"/>
        </w:rPr>
        <w:t>深泽县财政局党组书记、局长  崔  擘</w:t>
      </w:r>
    </w:p>
    <w:p w14:paraId="0D7F6F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textAlignment w:val="auto"/>
        <w:rPr>
          <w:rFonts w:hint="eastAsia" w:ascii="仿宋_GB2312" w:hAnsi="仿宋" w:eastAsia="仿宋_GB2312" w:cs="Times New Roman"/>
          <w:color w:val="auto"/>
          <w:sz w:val="32"/>
          <w:szCs w:val="32"/>
          <w:lang w:val="en-US" w:eastAsia="zh-CN"/>
        </w:rPr>
      </w:pPr>
    </w:p>
    <w:p w14:paraId="55A8D3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textAlignment w:val="auto"/>
        <w:rPr>
          <w:rFonts w:hint="default" w:ascii="仿宋_GB2312" w:hAnsi="仿宋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Times New Roman"/>
          <w:color w:val="auto"/>
          <w:sz w:val="32"/>
          <w:szCs w:val="32"/>
          <w:lang w:val="en-US" w:eastAsia="zh-CN"/>
        </w:rPr>
        <w:t>主任、各位副主任、各位委员：</w:t>
      </w:r>
    </w:p>
    <w:p w14:paraId="518C3A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jc w:val="both"/>
        <w:textAlignment w:val="auto"/>
        <w:outlineLvl w:val="9"/>
        <w:rPr>
          <w:rFonts w:hint="eastAsia" w:ascii="仿宋_GB2312" w:hAnsi="仿宋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</w:rPr>
      </w:pP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  <w:lang w:eastAsia="zh-CN"/>
        </w:rPr>
        <w:t>今年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  <w:t>以来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  <w:t>全县各预算单位认真贯彻落实县人大常委会各项决议，持续强化预算执行管理，全力推动实现兜牢“三保”底线、维护社会稳定、服务经济发展基本目标，有效防控政府债务风险，全县财政运行总体平稳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  <w:lang w:eastAsia="zh-CN"/>
        </w:rPr>
        <w:t>。受县政府委托，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</w:rPr>
        <w:t>现将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  <w:lang w:eastAsia="zh-CN"/>
        </w:rPr>
        <w:t>202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  <w:lang w:eastAsia="zh-CN"/>
        </w:rPr>
        <w:t>年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</w:rPr>
        <w:t>我县上半年预算执行情况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  <w:t>报告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</w:rPr>
        <w:t>如下</w:t>
      </w:r>
      <w:r>
        <w:rPr>
          <w:rFonts w:hint="eastAsia" w:ascii="仿宋_GB2312" w:hAnsi="仿宋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</w:rPr>
        <w:t>：</w:t>
      </w:r>
    </w:p>
    <w:p w14:paraId="49D6D3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jc w:val="both"/>
        <w:textAlignment w:val="auto"/>
        <w:outlineLvl w:val="9"/>
        <w:rPr>
          <w:rFonts w:hint="default" w:ascii="黑体" w:hAnsi="黑体" w:eastAsia="黑体" w:cs="黑体"/>
          <w:b w:val="0"/>
          <w:bCs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  <w:t>一、整体情况</w:t>
      </w:r>
    </w:p>
    <w:p w14:paraId="105EEC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3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b/>
          <w:bCs w:val="0"/>
          <w:strike w:val="0"/>
          <w:dstrike w:val="0"/>
          <w:color w:val="auto"/>
          <w:sz w:val="32"/>
          <w:szCs w:val="32"/>
          <w:highlight w:val="none"/>
          <w:u w:val="none"/>
        </w:rPr>
      </w:pPr>
      <w:r>
        <w:rPr>
          <w:rFonts w:hint="eastAsia" w:ascii="楷体_GB2312" w:hAnsi="楷体_GB2312" w:eastAsia="楷体_GB2312" w:cs="楷体_GB2312"/>
          <w:b/>
          <w:bCs w:val="0"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  <w:t>（一）</w:t>
      </w:r>
      <w:r>
        <w:rPr>
          <w:rFonts w:hint="eastAsia" w:ascii="楷体_GB2312" w:hAnsi="楷体_GB2312" w:eastAsia="楷体_GB2312" w:cs="楷体_GB2312"/>
          <w:b/>
          <w:bCs w:val="0"/>
          <w:strike w:val="0"/>
          <w:dstrike w:val="0"/>
          <w:color w:val="auto"/>
          <w:sz w:val="32"/>
          <w:szCs w:val="32"/>
          <w:highlight w:val="none"/>
          <w:u w:val="none"/>
        </w:rPr>
        <w:t>预算执行</w:t>
      </w:r>
      <w:r>
        <w:rPr>
          <w:rFonts w:hint="eastAsia" w:ascii="楷体_GB2312" w:hAnsi="楷体_GB2312" w:eastAsia="楷体_GB2312" w:cs="楷体_GB2312"/>
          <w:b/>
          <w:bCs w:val="0"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  <w:t>基本</w:t>
      </w:r>
      <w:r>
        <w:rPr>
          <w:rFonts w:hint="eastAsia" w:ascii="楷体_GB2312" w:hAnsi="楷体_GB2312" w:eastAsia="楷体_GB2312" w:cs="楷体_GB2312"/>
          <w:b/>
          <w:bCs w:val="0"/>
          <w:strike w:val="0"/>
          <w:dstrike w:val="0"/>
          <w:color w:val="auto"/>
          <w:sz w:val="32"/>
          <w:szCs w:val="32"/>
          <w:highlight w:val="none"/>
          <w:u w:val="none"/>
        </w:rPr>
        <w:t>情况</w:t>
      </w:r>
    </w:p>
    <w:p w14:paraId="00E60E2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</w:rPr>
      </w:pP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</w:rPr>
        <w:t>2025年一般公共预算收入计划完成65871万元，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  <w:t>上半年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</w:rPr>
        <w:t>累计完成36375万元，同比增长5.3%，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  <w:t>高于全年目标增速0.3个百分点。其中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</w:rPr>
        <w:t>非税收入23360万元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  <w:t>同比增长17.3%，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</w:rPr>
        <w:t>占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  <w:t>上半年总收入的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</w:rPr>
        <w:t>64.22%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  <w:t>同比增长6.5个百分点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</w:rPr>
        <w:t>，主要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  <w:t>是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</w:rPr>
        <w:t>盘活存量资产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  <w:t>等一次性收入增加；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</w:rPr>
        <w:t>税收收入13015万元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  <w:t>同比下降11%，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</w:rPr>
        <w:t>占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  <w:t>上半年总收入的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</w:rPr>
        <w:t>35.78%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  <w:t>同比下降6.5个百分点，主要为去年同期耕地占用税、城镇土地使用税等一次性税收完成较多，正常征收减收明显。上半年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</w:rPr>
        <w:t>一般公共预算支出完成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u w:val="none"/>
          <w:lang w:val="en-US" w:eastAsia="zh-CN"/>
        </w:rPr>
        <w:t>109751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</w:rPr>
        <w:t>万元，</w:t>
      </w:r>
      <w:r>
        <w:rPr>
          <w:rFonts w:hint="eastAsia" w:ascii="仿宋_GB2312" w:hAnsi="仿宋_GB2312" w:eastAsia="仿宋_GB2312" w:cs="仿宋_GB2312"/>
          <w:bCs/>
          <w:strike w:val="0"/>
          <w:dstrike w:val="0"/>
          <w:color w:val="auto"/>
          <w:sz w:val="32"/>
          <w:szCs w:val="32"/>
          <w:highlight w:val="none"/>
          <w:u w:val="none"/>
        </w:rPr>
        <w:t>占</w:t>
      </w:r>
      <w:r>
        <w:rPr>
          <w:rFonts w:hint="eastAsia" w:ascii="仿宋_GB2312" w:hAnsi="仿宋_GB2312" w:eastAsia="仿宋_GB2312" w:cs="仿宋_GB2312"/>
          <w:bCs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  <w:t>年初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</w:rPr>
        <w:t>预算的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  <w:t>58.2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</w:rPr>
        <w:t>%，同比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  <w:t>减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</w:rPr>
        <w:t>支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  <w:t>2203万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</w:rPr>
        <w:t>元，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  <w:t>下降2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</w:rPr>
        <w:t>%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  <w:t>，超序时进度8.2%。主要用于“三保”、公共事业、政府债券还本付息以及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u w:val="none"/>
          <w:lang w:val="en-US" w:eastAsia="zh-CN"/>
        </w:rPr>
        <w:t>重点项目建设支出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</w:rPr>
        <w:t>，为推动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  <w:t>全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</w:rPr>
        <w:t>县经济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  <w:t>社会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</w:rPr>
        <w:t>发展提供了有力支撑。</w:t>
      </w:r>
    </w:p>
    <w:p w14:paraId="63F2A3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</w:rPr>
        <w:t>2025年政府性基金收入计划完成35000万元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</w:rPr>
        <w:t>上半年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  <w:t>累计完成</w:t>
      </w:r>
      <w:r>
        <w:rPr>
          <w:rFonts w:hint="eastAsia" w:ascii="仿宋_GB2312" w:hAnsi="仿宋_GB2312" w:eastAsia="仿宋_GB2312" w:cs="仿宋_GB2312"/>
          <w:bCs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  <w:t>9256</w:t>
      </w:r>
      <w:r>
        <w:rPr>
          <w:rFonts w:hint="eastAsia" w:ascii="仿宋_GB2312" w:hAnsi="仿宋_GB2312" w:eastAsia="仿宋_GB2312" w:cs="仿宋_GB2312"/>
          <w:bCs/>
          <w:strike w:val="0"/>
          <w:dstrike w:val="0"/>
          <w:color w:val="auto"/>
          <w:sz w:val="32"/>
          <w:szCs w:val="32"/>
          <w:highlight w:val="none"/>
          <w:u w:val="none"/>
        </w:rPr>
        <w:t>万元，占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</w:rPr>
        <w:t>预算</w:t>
      </w:r>
      <w:r>
        <w:rPr>
          <w:rFonts w:hint="eastAsia" w:ascii="仿宋_GB2312" w:hAnsi="仿宋_GB2312" w:eastAsia="仿宋_GB2312" w:cs="仿宋_GB2312"/>
          <w:bCs/>
          <w:strike w:val="0"/>
          <w:dstrike w:val="0"/>
          <w:color w:val="auto"/>
          <w:sz w:val="32"/>
          <w:szCs w:val="32"/>
          <w:highlight w:val="none"/>
          <w:u w:val="none"/>
        </w:rPr>
        <w:t>的</w:t>
      </w:r>
      <w:r>
        <w:rPr>
          <w:rFonts w:hint="eastAsia" w:ascii="仿宋_GB2312" w:hAnsi="仿宋_GB2312" w:eastAsia="仿宋_GB2312" w:cs="仿宋_GB2312"/>
          <w:bCs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  <w:t>26.5</w:t>
      </w:r>
      <w:r>
        <w:rPr>
          <w:rFonts w:hint="eastAsia" w:ascii="仿宋_GB2312" w:hAnsi="仿宋_GB2312" w:eastAsia="仿宋_GB2312" w:cs="仿宋_GB2312"/>
          <w:bCs/>
          <w:strike w:val="0"/>
          <w:dstrike w:val="0"/>
          <w:color w:val="auto"/>
          <w:sz w:val="32"/>
          <w:szCs w:val="32"/>
          <w:highlight w:val="none"/>
          <w:u w:val="none"/>
        </w:rPr>
        <w:t>%，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</w:rPr>
        <w:t>同比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  <w:t>下降</w:t>
      </w:r>
      <w:r>
        <w:rPr>
          <w:rFonts w:hint="eastAsia" w:ascii="仿宋_GB2312" w:hAnsi="仿宋_GB2312" w:eastAsia="仿宋_GB2312" w:cs="仿宋_GB2312"/>
          <w:bCs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  <w:t>32.1</w:t>
      </w:r>
      <w:r>
        <w:rPr>
          <w:rFonts w:hint="eastAsia" w:ascii="仿宋_GB2312" w:hAnsi="仿宋_GB2312" w:eastAsia="仿宋_GB2312" w:cs="仿宋_GB2312"/>
          <w:bCs/>
          <w:strike w:val="0"/>
          <w:dstrike w:val="0"/>
          <w:color w:val="auto"/>
          <w:sz w:val="32"/>
          <w:szCs w:val="32"/>
          <w:highlight w:val="none"/>
          <w:u w:val="none"/>
        </w:rPr>
        <w:t>%</w:t>
      </w:r>
      <w:r>
        <w:rPr>
          <w:rFonts w:hint="eastAsia" w:ascii="仿宋_GB2312" w:hAnsi="仿宋_GB2312" w:eastAsia="仿宋_GB2312" w:cs="仿宋_GB2312"/>
          <w:bCs/>
          <w:strike w:val="0"/>
          <w:dstrike w:val="0"/>
          <w:color w:val="auto"/>
          <w:sz w:val="32"/>
          <w:szCs w:val="32"/>
          <w:highlight w:val="none"/>
          <w:u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bCs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  <w:t>主要原因为土地出让金收入未实现预期。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</w:rPr>
        <w:t>支出</w:t>
      </w:r>
      <w:r>
        <w:rPr>
          <w:rFonts w:hint="eastAsia" w:ascii="仿宋_GB2312" w:hAnsi="仿宋_GB2312" w:eastAsia="仿宋_GB2312" w:cs="仿宋_GB2312"/>
          <w:bCs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  <w:t>57048</w:t>
      </w:r>
      <w:r>
        <w:rPr>
          <w:rFonts w:hint="eastAsia" w:ascii="仿宋_GB2312" w:hAnsi="仿宋_GB2312" w:eastAsia="仿宋_GB2312" w:cs="仿宋_GB2312"/>
          <w:bCs/>
          <w:strike w:val="0"/>
          <w:dstrike w:val="0"/>
          <w:color w:val="auto"/>
          <w:sz w:val="32"/>
          <w:szCs w:val="32"/>
          <w:highlight w:val="none"/>
          <w:u w:val="none"/>
        </w:rPr>
        <w:t>万元，占</w:t>
      </w:r>
      <w:r>
        <w:rPr>
          <w:rFonts w:hint="eastAsia" w:ascii="仿宋_GB2312" w:hAnsi="仿宋_GB2312" w:eastAsia="仿宋_GB2312" w:cs="仿宋_GB2312"/>
          <w:bCs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  <w:t>年初</w:t>
      </w:r>
      <w:r>
        <w:rPr>
          <w:rFonts w:hint="eastAsia" w:ascii="仿宋_GB2312" w:hAnsi="仿宋_GB2312" w:eastAsia="仿宋_GB2312" w:cs="仿宋_GB2312"/>
          <w:bCs/>
          <w:strike w:val="0"/>
          <w:dstrike w:val="0"/>
          <w:color w:val="auto"/>
          <w:sz w:val="32"/>
          <w:szCs w:val="32"/>
          <w:highlight w:val="none"/>
          <w:u w:val="none"/>
        </w:rPr>
        <w:t>预算数的</w:t>
      </w:r>
      <w:r>
        <w:rPr>
          <w:rFonts w:hint="eastAsia" w:ascii="仿宋_GB2312" w:hAnsi="仿宋_GB2312" w:eastAsia="仿宋_GB2312" w:cs="仿宋_GB2312"/>
          <w:bCs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  <w:t>97.5</w:t>
      </w:r>
      <w:r>
        <w:rPr>
          <w:rFonts w:hint="eastAsia" w:ascii="仿宋_GB2312" w:hAnsi="仿宋_GB2312" w:eastAsia="仿宋_GB2312" w:cs="仿宋_GB2312"/>
          <w:bCs/>
          <w:strike w:val="0"/>
          <w:dstrike w:val="0"/>
          <w:color w:val="auto"/>
          <w:sz w:val="32"/>
          <w:szCs w:val="32"/>
          <w:highlight w:val="none"/>
          <w:u w:val="none"/>
        </w:rPr>
        <w:t>%，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</w:rPr>
        <w:t>同比</w:t>
      </w:r>
      <w:r>
        <w:rPr>
          <w:rFonts w:hint="eastAsia" w:ascii="仿宋_GB2312" w:hAnsi="仿宋_GB2312" w:eastAsia="仿宋_GB2312" w:cs="仿宋_GB2312"/>
          <w:bCs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  <w:t>增长292.1</w:t>
      </w:r>
      <w:r>
        <w:rPr>
          <w:rFonts w:hint="eastAsia" w:ascii="仿宋_GB2312" w:hAnsi="仿宋_GB2312" w:eastAsia="仿宋_GB2312" w:cs="仿宋_GB2312"/>
          <w:bCs/>
          <w:strike w:val="0"/>
          <w:dstrike w:val="0"/>
          <w:color w:val="auto"/>
          <w:sz w:val="32"/>
          <w:szCs w:val="32"/>
          <w:highlight w:val="none"/>
          <w:u w:val="none"/>
        </w:rPr>
        <w:t>%</w:t>
      </w:r>
      <w:r>
        <w:rPr>
          <w:rFonts w:hint="eastAsia" w:ascii="仿宋_GB2312" w:hAnsi="仿宋_GB2312" w:eastAsia="仿宋_GB2312" w:cs="仿宋_GB2312"/>
          <w:bCs/>
          <w:strike w:val="0"/>
          <w:dstrike w:val="0"/>
          <w:color w:val="auto"/>
          <w:sz w:val="32"/>
          <w:szCs w:val="32"/>
          <w:highlight w:val="none"/>
          <w:u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bCs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  <w:t>主要为债券项目支出、债务还本付息、土地征收等支出。</w:t>
      </w:r>
    </w:p>
    <w:p w14:paraId="288045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  <w:t>2025年社保基金收入计划完成32421万元，上半年累计完成17776万元，占预算的54.8%，同比增长18.7%。支出14608万元，占预算的48.6%，增长15.1%。</w:t>
      </w:r>
    </w:p>
    <w:p w14:paraId="3F704E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  <w:t>此外，按照深化预算管理制度改革相关要求，国有资本经营预算实行独立编制，因我县国有企业数量较少，2025年未编制国有资本经营预算。</w:t>
      </w:r>
    </w:p>
    <w:p w14:paraId="271EEB7B">
      <w:pPr>
        <w:keepNext w:val="0"/>
        <w:keepLines w:val="0"/>
        <w:widowControl w:val="0"/>
        <w:suppressLineNumbers w:val="0"/>
        <w:kinsoku w:val="0"/>
        <w:autoSpaceDE w:val="0"/>
        <w:autoSpaceDN/>
        <w:adjustRightInd w:val="0"/>
        <w:snapToGrid w:val="0"/>
        <w:spacing w:before="0" w:beforeAutospacing="0" w:after="0" w:afterAutospacing="0" w:line="560" w:lineRule="exact"/>
        <w:ind w:left="0" w:right="0" w:firstLine="643" w:firstLineChars="200"/>
        <w:jc w:val="both"/>
        <w:textAlignment w:val="baseline"/>
        <w:rPr>
          <w:rFonts w:hint="eastAsia" w:ascii="楷体_GB2312" w:eastAsia="楷体_GB2312" w:cs="楷体_GB2312"/>
          <w:b/>
          <w:bCs w:val="0"/>
          <w:kern w:val="0"/>
          <w:sz w:val="32"/>
          <w:szCs w:val="32"/>
        </w:rPr>
      </w:pPr>
      <w:r>
        <w:rPr>
          <w:rFonts w:hint="eastAsia" w:ascii="楷体_GB2312" w:hAnsi="Arial" w:eastAsia="楷体_GB2312" w:cs="楷体_GB2312"/>
          <w:b/>
          <w:bCs w:val="0"/>
          <w:snapToGrid w:val="0"/>
          <w:color w:val="000000"/>
          <w:kern w:val="0"/>
          <w:sz w:val="32"/>
          <w:szCs w:val="32"/>
          <w:lang w:val="en-US" w:eastAsia="zh-CN" w:bidi="ar"/>
        </w:rPr>
        <w:t>（二）</w:t>
      </w:r>
      <w:r>
        <w:rPr>
          <w:rFonts w:hint="eastAsia" w:ascii="楷体_GB2312" w:eastAsia="楷体_GB2312" w:cs="楷体_GB2312"/>
          <w:b/>
          <w:bCs w:val="0"/>
          <w:snapToGrid w:val="0"/>
          <w:color w:val="000000"/>
          <w:kern w:val="0"/>
          <w:sz w:val="32"/>
          <w:szCs w:val="32"/>
          <w:lang w:val="en-US" w:eastAsia="zh-CN" w:bidi="ar"/>
        </w:rPr>
        <w:t>上级补助资金</w:t>
      </w:r>
      <w:r>
        <w:rPr>
          <w:rFonts w:hint="eastAsia" w:ascii="楷体_GB2312" w:hAnsi="Arial" w:eastAsia="楷体_GB2312" w:cs="楷体_GB2312"/>
          <w:b/>
          <w:bCs w:val="0"/>
          <w:snapToGrid w:val="0"/>
          <w:color w:val="000000"/>
          <w:kern w:val="0"/>
          <w:sz w:val="32"/>
          <w:szCs w:val="32"/>
          <w:lang w:val="en-US" w:eastAsia="zh-CN" w:bidi="ar"/>
        </w:rPr>
        <w:t>情况</w:t>
      </w:r>
    </w:p>
    <w:p w14:paraId="45E0A878">
      <w:pPr>
        <w:keepNext w:val="0"/>
        <w:keepLines w:val="0"/>
        <w:widowControl w:val="0"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560" w:lineRule="exact"/>
        <w:ind w:left="0" w:right="0" w:firstLine="640" w:firstLineChars="200"/>
        <w:jc w:val="both"/>
        <w:textAlignment w:val="baseline"/>
        <w:rPr>
          <w:rFonts w:hint="default" w:ascii="仿宋_GB2312" w:hAnsi="Arial" w:eastAsia="仿宋_GB2312" w:cs="仿宋_GB2312"/>
          <w:b w:val="0"/>
          <w:bCs w:val="0"/>
          <w:snapToGrid w:val="0"/>
          <w:color w:val="000000"/>
          <w:kern w:val="0"/>
          <w:sz w:val="32"/>
          <w:szCs w:val="32"/>
          <w:vertAlign w:val="baseline"/>
          <w:lang w:val="en-US" w:eastAsia="zh-CN" w:bidi="ar"/>
        </w:rPr>
      </w:pPr>
      <w:r>
        <w:rPr>
          <w:rFonts w:hint="eastAsia" w:ascii="仿宋_GB2312" w:hAnsi="Arial" w:eastAsia="仿宋_GB2312" w:cs="仿宋_GB2312"/>
          <w:b w:val="0"/>
          <w:bCs w:val="0"/>
          <w:snapToGrid w:val="0"/>
          <w:color w:val="000000"/>
          <w:kern w:val="0"/>
          <w:sz w:val="32"/>
          <w:szCs w:val="32"/>
          <w:vertAlign w:val="baseline"/>
          <w:lang w:val="en-US" w:eastAsia="zh-CN" w:bidi="ar"/>
        </w:rPr>
        <w:t>2025年上半年，上级对我县一般公共预算上级补助收入共计110860万元，其中返还性收入8263万元，一般性转移支付97579万元，专项转移支付5018万元</w:t>
      </w:r>
      <w:r>
        <w:rPr>
          <w:rFonts w:hint="eastAsia" w:ascii="仿宋_GB2312" w:eastAsia="仿宋_GB2312" w:cs="仿宋_GB2312"/>
          <w:b w:val="0"/>
          <w:bCs w:val="0"/>
          <w:snapToGrid w:val="0"/>
          <w:color w:val="000000"/>
          <w:kern w:val="0"/>
          <w:sz w:val="32"/>
          <w:szCs w:val="32"/>
          <w:vertAlign w:val="baseline"/>
          <w:lang w:val="en-US" w:eastAsia="zh-CN" w:bidi="ar"/>
        </w:rPr>
        <w:t>；</w:t>
      </w:r>
      <w:r>
        <w:rPr>
          <w:rFonts w:hint="eastAsia" w:ascii="仿宋_GB2312" w:hAnsi="Arial" w:eastAsia="仿宋_GB2312" w:cs="仿宋_GB2312"/>
          <w:b w:val="0"/>
          <w:bCs w:val="0"/>
          <w:snapToGrid w:val="0"/>
          <w:color w:val="000000"/>
          <w:kern w:val="0"/>
          <w:sz w:val="32"/>
          <w:szCs w:val="32"/>
          <w:vertAlign w:val="baseline"/>
          <w:lang w:val="en-US" w:eastAsia="zh-CN" w:bidi="ar"/>
        </w:rPr>
        <w:t>政府性基金补助收入18763万元</w:t>
      </w:r>
      <w:r>
        <w:rPr>
          <w:rFonts w:hint="eastAsia" w:ascii="仿宋_GB2312" w:eastAsia="仿宋_GB2312" w:cs="仿宋_GB2312"/>
          <w:b w:val="0"/>
          <w:bCs w:val="0"/>
          <w:snapToGrid w:val="0"/>
          <w:color w:val="000000"/>
          <w:kern w:val="0"/>
          <w:sz w:val="32"/>
          <w:szCs w:val="32"/>
          <w:vertAlign w:val="baseline"/>
          <w:lang w:val="en-US" w:eastAsia="zh-CN" w:bidi="ar"/>
        </w:rPr>
        <w:t>；</w:t>
      </w:r>
      <w:r>
        <w:rPr>
          <w:rFonts w:hint="eastAsia" w:ascii="仿宋_GB2312" w:hAnsi="Arial" w:eastAsia="仿宋_GB2312" w:cs="仿宋_GB2312"/>
          <w:b w:val="0"/>
          <w:bCs w:val="0"/>
          <w:snapToGrid w:val="0"/>
          <w:color w:val="000000"/>
          <w:kern w:val="0"/>
          <w:sz w:val="32"/>
          <w:szCs w:val="32"/>
          <w:vertAlign w:val="baseline"/>
          <w:lang w:val="en-US" w:eastAsia="zh-CN" w:bidi="ar"/>
        </w:rPr>
        <w:t>国有资本经营预算补助收入65万元。在足额保障“三保”支出的前提下，统筹资金对公共事业、</w:t>
      </w:r>
      <w:r>
        <w:rPr>
          <w:rFonts w:hint="eastAsia" w:ascii="仿宋_GB2312" w:eastAsia="仿宋_GB2312" w:cs="仿宋_GB2312"/>
          <w:b w:val="0"/>
          <w:bCs w:val="0"/>
          <w:snapToGrid w:val="0"/>
          <w:color w:val="000000"/>
          <w:kern w:val="0"/>
          <w:sz w:val="32"/>
          <w:szCs w:val="32"/>
          <w:vertAlign w:val="baseline"/>
          <w:lang w:val="en-US" w:eastAsia="zh-CN" w:bidi="ar"/>
        </w:rPr>
        <w:t>城市更新、</w:t>
      </w:r>
      <w:r>
        <w:rPr>
          <w:rFonts w:hint="eastAsia" w:ascii="仿宋_GB2312" w:hAnsi="Arial" w:eastAsia="仿宋_GB2312" w:cs="仿宋_GB2312"/>
          <w:b w:val="0"/>
          <w:bCs w:val="0"/>
          <w:snapToGrid w:val="0"/>
          <w:color w:val="000000"/>
          <w:kern w:val="0"/>
          <w:sz w:val="32"/>
          <w:szCs w:val="32"/>
          <w:vertAlign w:val="baseline"/>
          <w:lang w:val="en-US" w:eastAsia="zh-CN" w:bidi="ar"/>
        </w:rPr>
        <w:t>乡村振兴、节能环保等重点领域给予支持。转移支付</w:t>
      </w:r>
      <w:r>
        <w:rPr>
          <w:rFonts w:hint="eastAsia" w:ascii="仿宋_GB2312" w:eastAsia="仿宋_GB2312" w:cs="仿宋_GB2312"/>
          <w:b w:val="0"/>
          <w:bCs w:val="0"/>
          <w:snapToGrid w:val="0"/>
          <w:color w:val="000000"/>
          <w:kern w:val="0"/>
          <w:sz w:val="32"/>
          <w:szCs w:val="32"/>
          <w:vertAlign w:val="baseline"/>
          <w:lang w:val="en-US" w:eastAsia="zh-CN" w:bidi="ar"/>
        </w:rPr>
        <w:t>资金</w:t>
      </w:r>
      <w:r>
        <w:rPr>
          <w:rFonts w:hint="eastAsia" w:ascii="仿宋_GB2312" w:hAnsi="Arial" w:eastAsia="仿宋_GB2312" w:cs="仿宋_GB2312"/>
          <w:b w:val="0"/>
          <w:bCs w:val="0"/>
          <w:snapToGrid w:val="0"/>
          <w:color w:val="000000"/>
          <w:kern w:val="0"/>
          <w:sz w:val="32"/>
          <w:szCs w:val="32"/>
          <w:vertAlign w:val="baseline"/>
          <w:lang w:val="en-US" w:eastAsia="zh-CN" w:bidi="ar"/>
        </w:rPr>
        <w:t>严格按照要求安排支出，并细化到了具体项目，</w:t>
      </w:r>
      <w:r>
        <w:rPr>
          <w:rFonts w:hint="eastAsia" w:ascii="仿宋_GB2312" w:eastAsia="仿宋_GB2312" w:cs="仿宋_GB2312"/>
          <w:b w:val="0"/>
          <w:bCs w:val="0"/>
          <w:snapToGrid w:val="0"/>
          <w:color w:val="000000"/>
          <w:kern w:val="0"/>
          <w:sz w:val="32"/>
          <w:szCs w:val="32"/>
          <w:vertAlign w:val="baseline"/>
          <w:lang w:val="en-US" w:eastAsia="zh-CN" w:bidi="ar"/>
        </w:rPr>
        <w:t>保证资金使用安全高效，最大发挥使用效益。</w:t>
      </w:r>
    </w:p>
    <w:p w14:paraId="45B1F522">
      <w:pPr>
        <w:pStyle w:val="9"/>
        <w:keepNext w:val="0"/>
        <w:keepLines w:val="0"/>
        <w:widowControl w:val="0"/>
        <w:suppressLineNumbers w:val="0"/>
        <w:kinsoku w:val="0"/>
        <w:autoSpaceDE w:val="0"/>
        <w:autoSpaceDN/>
        <w:adjustRightInd w:val="0"/>
        <w:snapToGrid w:val="0"/>
        <w:spacing w:before="0" w:beforeAutospacing="0" w:after="0" w:afterAutospacing="0" w:line="560" w:lineRule="exact"/>
        <w:ind w:left="0" w:right="0" w:rightChars="0" w:firstLine="643" w:firstLineChars="200"/>
        <w:jc w:val="both"/>
        <w:textAlignment w:val="baseline"/>
        <w:rPr>
          <w:rFonts w:hint="eastAsia" w:ascii="楷体_GB2312" w:eastAsia="楷体_GB2312" w:cs="楷体_GB2312"/>
          <w:b/>
          <w:bCs w:val="0"/>
          <w:kern w:val="0"/>
          <w:sz w:val="32"/>
          <w:szCs w:val="32"/>
        </w:rPr>
      </w:pPr>
      <w:r>
        <w:rPr>
          <w:rFonts w:hint="eastAsia" w:ascii="楷体_GB2312" w:hAnsi="仿宋" w:eastAsia="楷体_GB2312" w:cs="楷体_GB2312"/>
          <w:b/>
          <w:bCs w:val="0"/>
          <w:snapToGrid/>
          <w:color w:val="000000"/>
          <w:kern w:val="0"/>
          <w:sz w:val="32"/>
          <w:szCs w:val="32"/>
          <w:lang w:val="en-US" w:eastAsia="zh-CN" w:bidi="ar"/>
        </w:rPr>
        <w:t>（三）“三保”任务落实情况</w:t>
      </w:r>
    </w:p>
    <w:p w14:paraId="794919D2">
      <w:pPr>
        <w:pStyle w:val="9"/>
        <w:keepNext w:val="0"/>
        <w:keepLines w:val="0"/>
        <w:widowControl w:val="0"/>
        <w:suppressLineNumbers w:val="0"/>
        <w:kinsoku w:val="0"/>
        <w:autoSpaceDE w:val="0"/>
        <w:autoSpaceDN/>
        <w:adjustRightInd w:val="0"/>
        <w:snapToGrid w:val="0"/>
        <w:spacing w:before="0" w:beforeAutospacing="0" w:after="0" w:afterAutospacing="0" w:line="560" w:lineRule="exact"/>
        <w:ind w:left="0" w:right="0" w:rightChars="0" w:firstLine="640" w:firstLineChars="200"/>
        <w:jc w:val="both"/>
        <w:textAlignment w:val="baseline"/>
        <w:rPr>
          <w:rFonts w:hint="eastAsia" w:ascii="仿宋_GB2312" w:hAnsi="仿宋" w:eastAsia="仿宋_GB2312" w:cs="仿宋_GB2312"/>
          <w:snapToGrid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" w:eastAsia="仿宋_GB2312" w:cs="仿宋_GB2312"/>
          <w:snapToGrid/>
          <w:color w:val="000000"/>
          <w:kern w:val="0"/>
          <w:sz w:val="32"/>
          <w:szCs w:val="32"/>
          <w:lang w:val="en-US" w:eastAsia="zh-CN" w:bidi="ar"/>
        </w:rPr>
        <w:t>2025年上半年，“保基本民生”需求为34105万元，调整预算数为36790万元，保障率为107.87%，支出23315万元，支出率为68.36%；“保工资”需求为42193万元，调整预算数为42479万元，保障率为100.68%，支出25643万元，支出率为60.37%；“保运转”需求为2074万元，调整预算数为2266万元，保障率为109.26%，支出916万元，支出率为40.42%。</w:t>
      </w:r>
    </w:p>
    <w:p w14:paraId="5ED27291">
      <w:pPr>
        <w:pStyle w:val="9"/>
        <w:keepNext w:val="0"/>
        <w:keepLines w:val="0"/>
        <w:widowControl w:val="0"/>
        <w:suppressLineNumbers w:val="0"/>
        <w:kinsoku w:val="0"/>
        <w:autoSpaceDE w:val="0"/>
        <w:autoSpaceDN/>
        <w:adjustRightInd w:val="0"/>
        <w:snapToGrid w:val="0"/>
        <w:spacing w:before="0" w:beforeAutospacing="0" w:after="0" w:afterAutospacing="0" w:line="560" w:lineRule="exact"/>
        <w:ind w:left="0" w:right="0" w:rightChars="0" w:firstLine="640" w:firstLineChars="200"/>
        <w:jc w:val="both"/>
        <w:textAlignment w:val="baseline"/>
        <w:rPr>
          <w:rFonts w:hint="eastAsia" w:ascii="仿宋_GB2312" w:hAnsi="仿宋" w:eastAsia="仿宋_GB2312" w:cs="仿宋_GB2312"/>
          <w:snapToGrid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" w:eastAsia="仿宋_GB2312" w:cs="仿宋_GB2312"/>
          <w:snapToGrid/>
          <w:color w:val="000000"/>
          <w:kern w:val="0"/>
          <w:sz w:val="32"/>
          <w:szCs w:val="32"/>
          <w:lang w:val="en-US" w:eastAsia="zh-CN" w:bidi="ar"/>
        </w:rPr>
        <w:t>政府负有支出责任的公共事业领域支出共计48110万元，主要为环卫工人工资及垃圾清运费、南水北调水费、一般债券还本付息等支出、增发国债及超长期国债项目县级配套资金等。</w:t>
      </w:r>
    </w:p>
    <w:p w14:paraId="64D6E46C">
      <w:pPr>
        <w:pStyle w:val="9"/>
        <w:keepNext w:val="0"/>
        <w:keepLines w:val="0"/>
        <w:widowControl w:val="0"/>
        <w:suppressLineNumbers w:val="0"/>
        <w:kinsoku w:val="0"/>
        <w:autoSpaceDE w:val="0"/>
        <w:autoSpaceDN/>
        <w:adjustRightInd w:val="0"/>
        <w:snapToGrid w:val="0"/>
        <w:spacing w:before="0" w:beforeAutospacing="0" w:after="0" w:afterAutospacing="0" w:line="560" w:lineRule="exact"/>
        <w:ind w:left="0" w:right="0" w:rightChars="0" w:firstLine="640" w:firstLineChars="200"/>
        <w:jc w:val="both"/>
        <w:textAlignment w:val="baseline"/>
        <w:rPr>
          <w:rFonts w:hint="eastAsia" w:ascii="仿宋_GB2312" w:hAnsi="仿宋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" w:eastAsia="仿宋_GB2312" w:cs="仿宋_GB2312"/>
          <w:snapToGrid/>
          <w:color w:val="000000"/>
          <w:kern w:val="0"/>
          <w:sz w:val="32"/>
          <w:szCs w:val="32"/>
          <w:lang w:val="en-US" w:eastAsia="zh-CN" w:bidi="ar"/>
        </w:rPr>
        <w:t>“三保”保障口径之外的第二刚性中差额人员、自收自支在职人员工资及退休人员统筹外工资等共计3681万元，劳务派遣、社区工作者、涉军人员等共计5095万元，均为县级财力统筹资金解决。</w:t>
      </w:r>
    </w:p>
    <w:p w14:paraId="45F78D85">
      <w:pPr>
        <w:pStyle w:val="9"/>
        <w:keepNext w:val="0"/>
        <w:keepLines w:val="0"/>
        <w:widowControl w:val="0"/>
        <w:suppressLineNumbers w:val="0"/>
        <w:kinsoku w:val="0"/>
        <w:autoSpaceDE w:val="0"/>
        <w:autoSpaceDN/>
        <w:adjustRightInd w:val="0"/>
        <w:snapToGrid w:val="0"/>
        <w:spacing w:before="0" w:beforeAutospacing="0" w:after="0" w:afterAutospacing="0" w:line="560" w:lineRule="exact"/>
        <w:ind w:left="0" w:right="0" w:rightChars="0" w:firstLine="643" w:firstLineChars="200"/>
        <w:jc w:val="both"/>
        <w:textAlignment w:val="baseline"/>
        <w:rPr>
          <w:rFonts w:hint="eastAsia" w:ascii="楷体_GB2312" w:eastAsia="楷体_GB2312" w:cs="楷体_GB2312"/>
          <w:b/>
          <w:bCs w:val="0"/>
          <w:kern w:val="0"/>
          <w:sz w:val="32"/>
          <w:szCs w:val="32"/>
        </w:rPr>
      </w:pPr>
      <w:r>
        <w:rPr>
          <w:rFonts w:hint="eastAsia" w:ascii="楷体_GB2312" w:hAnsi="Arial" w:eastAsia="楷体_GB2312" w:cs="楷体_GB2312"/>
          <w:b/>
          <w:bCs w:val="0"/>
          <w:snapToGrid/>
          <w:color w:val="000000"/>
          <w:kern w:val="0"/>
          <w:sz w:val="32"/>
          <w:szCs w:val="32"/>
          <w:lang w:val="en-US" w:eastAsia="zh-CN" w:bidi="ar"/>
        </w:rPr>
        <w:t>（四）政府债务管理情况</w:t>
      </w:r>
    </w:p>
    <w:p w14:paraId="7B78D92D">
      <w:pPr>
        <w:keepNext w:val="0"/>
        <w:keepLines w:val="0"/>
        <w:widowControl w:val="0"/>
        <w:suppressLineNumbers w:val="0"/>
        <w:kinsoku w:val="0"/>
        <w:autoSpaceDE w:val="0"/>
        <w:autoSpaceDN/>
        <w:adjustRightInd w:val="0"/>
        <w:snapToGrid w:val="0"/>
        <w:spacing w:before="0" w:beforeAutospacing="0" w:after="0" w:afterAutospacing="0" w:line="560" w:lineRule="exact"/>
        <w:ind w:left="0" w:right="0" w:rightChars="0" w:firstLine="640" w:firstLineChars="200"/>
        <w:jc w:val="both"/>
        <w:textAlignment w:val="baseline"/>
        <w:rPr>
          <w:rFonts w:hint="eastAsia" w:ascii="仿宋_GB2312" w:eastAsia="仿宋_GB2312" w:cs="仿宋_GB2312"/>
          <w:b w:val="0"/>
          <w:bCs/>
          <w:kern w:val="0"/>
          <w:sz w:val="32"/>
          <w:szCs w:val="32"/>
        </w:rPr>
      </w:pPr>
      <w:r>
        <w:rPr>
          <w:rFonts w:hint="eastAsia" w:ascii="仿宋_GB2312" w:hAnsi="Arial" w:eastAsia="仿宋_GB2312" w:cs="仿宋_GB2312"/>
          <w:b w:val="0"/>
          <w:bCs/>
          <w:snapToGrid w:val="0"/>
          <w:color w:val="000000"/>
          <w:kern w:val="0"/>
          <w:sz w:val="32"/>
          <w:szCs w:val="32"/>
          <w:lang w:val="en-US" w:eastAsia="zh-CN" w:bidi="ar"/>
        </w:rPr>
        <w:t>截至2025年6月，全县政府债务总限额474424万元，其中：一般债务总限额85424万元，专项债务总限额389000万元。政府债务余额469865万元，其中：一般债务限额80865万元，占比17.2%，专项债务限额389000万元，占比82.8%。政府债务率约137%，为黄色风险级别，债务风险总体可控。</w:t>
      </w:r>
    </w:p>
    <w:p w14:paraId="61E055DF">
      <w:pPr>
        <w:keepNext w:val="0"/>
        <w:keepLines w:val="0"/>
        <w:widowControl w:val="0"/>
        <w:suppressLineNumbers w:val="0"/>
        <w:kinsoku w:val="0"/>
        <w:autoSpaceDE w:val="0"/>
        <w:autoSpaceDN/>
        <w:adjustRightInd w:val="0"/>
        <w:snapToGrid w:val="0"/>
        <w:spacing w:before="0" w:beforeAutospacing="0" w:after="0" w:afterAutospacing="0" w:line="560" w:lineRule="exact"/>
        <w:ind w:left="0" w:right="0" w:rightChars="0" w:firstLine="640" w:firstLineChars="200"/>
        <w:jc w:val="both"/>
        <w:textAlignment w:val="baseline"/>
        <w:rPr>
          <w:rFonts w:hint="eastAsia" w:asci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Arial" w:eastAsia="仿宋_GB2312" w:cs="仿宋_GB2312"/>
          <w:snapToGrid w:val="0"/>
          <w:color w:val="000000"/>
          <w:kern w:val="0"/>
          <w:sz w:val="32"/>
          <w:szCs w:val="32"/>
          <w:lang w:val="en-US" w:eastAsia="zh-CN" w:bidi="ar"/>
        </w:rPr>
        <w:t>上半年，新增政府债务限额106800万元。专项债务限额97200万元，发行专项债券项目5个，其中：用于项目建设的4个84700万元，支出48062.22万元，支出进度56.26%；用于解决拖欠企业账款12500万元，上半年未支出。一般债务限额9600万元，发行一般债券项目13个，支出1607.65万元，支出进度16.75%。2025年应偿还政府</w:t>
      </w:r>
      <w:r>
        <w:rPr>
          <w:rFonts w:hint="eastAsia" w:ascii="仿宋_GB2312" w:eastAsia="仿宋_GB2312" w:cs="仿宋_GB2312"/>
          <w:snapToGrid w:val="0"/>
          <w:color w:val="000000"/>
          <w:kern w:val="0"/>
          <w:sz w:val="32"/>
          <w:szCs w:val="32"/>
          <w:lang w:val="en-US" w:eastAsia="zh-CN" w:bidi="ar"/>
        </w:rPr>
        <w:t>债务</w:t>
      </w:r>
      <w:r>
        <w:rPr>
          <w:rFonts w:hint="eastAsia" w:ascii="仿宋_GB2312" w:hAnsi="Arial" w:eastAsia="仿宋_GB2312" w:cs="仿宋_GB2312"/>
          <w:snapToGrid w:val="0"/>
          <w:color w:val="000000"/>
          <w:kern w:val="0"/>
          <w:sz w:val="32"/>
          <w:szCs w:val="32"/>
          <w:lang w:val="en-US" w:eastAsia="zh-CN" w:bidi="ar"/>
        </w:rPr>
        <w:t>本息14269万元，上半年已按时偿还7790万元。</w:t>
      </w:r>
    </w:p>
    <w:p w14:paraId="6CFA05EE">
      <w:pPr>
        <w:keepNext w:val="0"/>
        <w:keepLines w:val="0"/>
        <w:widowControl w:val="0"/>
        <w:suppressLineNumbers w:val="0"/>
        <w:kinsoku w:val="0"/>
        <w:autoSpaceDE w:val="0"/>
        <w:autoSpaceDN/>
        <w:adjustRightInd w:val="0"/>
        <w:snapToGrid w:val="0"/>
        <w:spacing w:before="0" w:beforeAutospacing="0" w:after="0" w:afterAutospacing="0" w:line="560" w:lineRule="exact"/>
        <w:ind w:left="0" w:right="0" w:rightChars="0" w:firstLine="640" w:firstLineChars="200"/>
        <w:jc w:val="both"/>
        <w:textAlignment w:val="baseline"/>
        <w:rPr>
          <w:rFonts w:hint="eastAsia" w:asci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Arial" w:eastAsia="仿宋_GB2312" w:cs="仿宋_GB2312"/>
          <w:snapToGrid w:val="0"/>
          <w:color w:val="000000"/>
          <w:kern w:val="0"/>
          <w:sz w:val="32"/>
          <w:szCs w:val="32"/>
          <w:lang w:val="en-US" w:eastAsia="zh-CN" w:bidi="ar"/>
        </w:rPr>
        <w:t>我县不存在隐性债务。</w:t>
      </w:r>
    </w:p>
    <w:p w14:paraId="053BD9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3" w:firstLineChars="200"/>
        <w:jc w:val="both"/>
        <w:textAlignment w:val="auto"/>
        <w:outlineLvl w:val="9"/>
        <w:rPr>
          <w:rFonts w:hint="eastAsia" w:ascii="仿宋_GB2312" w:eastAsia="仿宋_GB2312" w:cs="仿宋_GB2312"/>
          <w:color w:val="auto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/>
          <w:bCs w:val="0"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  <w:t>（五）其他需要说明情况</w:t>
      </w:r>
    </w:p>
    <w:p w14:paraId="0D1134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3" w:firstLineChars="200"/>
        <w:jc w:val="both"/>
        <w:textAlignment w:val="baseline"/>
        <w:rPr>
          <w:rFonts w:hint="eastAsia" w:ascii="仿宋_GB2312" w:eastAsia="仿宋_GB2312" w:cs="仿宋_GB2312"/>
          <w:color w:val="auto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 w:cs="仿宋_GB2312"/>
          <w:b/>
          <w:bCs/>
          <w:color w:val="auto"/>
          <w:sz w:val="32"/>
          <w:szCs w:val="32"/>
          <w:lang w:val="en-US" w:eastAsia="zh-CN" w:bidi="ar-SA"/>
        </w:rPr>
        <w:t>一是</w:t>
      </w:r>
      <w:r>
        <w:rPr>
          <w:rFonts w:hint="eastAsia" w:ascii="仿宋_GB2312" w:eastAsia="仿宋_GB2312" w:cs="仿宋_GB2312"/>
          <w:b w:val="0"/>
          <w:bCs w:val="0"/>
          <w:color w:val="auto"/>
          <w:sz w:val="32"/>
          <w:szCs w:val="32"/>
          <w:lang w:val="en-US" w:eastAsia="zh-CN" w:bidi="ar-SA"/>
        </w:rPr>
        <w:t>重点领域资金保障有力，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 w:bidi="ar-SA"/>
        </w:rPr>
        <w:t>民生资金支出80673万元，占一般公共预算支出74%；投入10683万元用于城市更新重点项目，保障了老旧小区改造、街道整治提升等重点项目建设；投入7603万元用于乡村振兴，实施了村庄道路硬化、人居环境整治等一大批惠民项目；投入3164万元用于科技支出，为助力科技创新，支持企业提升科技创新和技术改造，促进全县经济高质量发展。</w:t>
      </w:r>
    </w:p>
    <w:p w14:paraId="324B90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3" w:firstLineChars="200"/>
        <w:jc w:val="both"/>
        <w:textAlignment w:val="baseline"/>
        <w:rPr>
          <w:rFonts w:hint="eastAsia" w:ascii="仿宋_GB2312" w:eastAsia="仿宋_GB2312" w:cs="仿宋_GB2312"/>
          <w:color w:val="auto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 w:cs="仿宋_GB2312"/>
          <w:b/>
          <w:bCs/>
          <w:color w:val="auto"/>
          <w:sz w:val="32"/>
          <w:szCs w:val="32"/>
          <w:lang w:val="en-US" w:eastAsia="zh-CN" w:bidi="ar-SA"/>
        </w:rPr>
        <w:t>二是</w:t>
      </w:r>
      <w:r>
        <w:rPr>
          <w:rFonts w:hint="eastAsia" w:ascii="仿宋_GB2312" w:eastAsia="仿宋_GB2312" w:cs="仿宋_GB2312"/>
          <w:b w:val="0"/>
          <w:bCs w:val="0"/>
          <w:color w:val="auto"/>
          <w:sz w:val="32"/>
          <w:szCs w:val="32"/>
          <w:lang w:val="en-US" w:eastAsia="zh-CN" w:bidi="ar-SA"/>
        </w:rPr>
        <w:t>全面落实减税降费政策，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 w:bidi="ar-SA"/>
        </w:rPr>
        <w:t>2025年上半年减税降费4957万元，惠及市场主体3534户次，进一步减轻了企业负担，激发了市场主体活力。研发费用加计扣除和科技成果税收减免、科技创新和技术改造等政策不折不扣落实。</w:t>
      </w:r>
    </w:p>
    <w:p w14:paraId="1F441E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3" w:firstLineChars="200"/>
        <w:jc w:val="both"/>
        <w:textAlignment w:val="baseline"/>
        <w:rPr>
          <w:rFonts w:hint="default" w:ascii="仿宋_GB2312" w:eastAsia="仿宋_GB2312" w:cs="仿宋_GB2312"/>
          <w:color w:val="FF0000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 w:cs="仿宋_GB2312"/>
          <w:b/>
          <w:bCs/>
          <w:color w:val="auto"/>
          <w:sz w:val="32"/>
          <w:szCs w:val="32"/>
          <w:lang w:val="en-US" w:eastAsia="zh-CN" w:bidi="ar-SA"/>
        </w:rPr>
        <w:t>三是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 w:bidi="ar-SA"/>
        </w:rPr>
        <w:t>2025年安排预备费5000万元，</w:t>
      </w:r>
      <w:r>
        <w:rPr>
          <w:rFonts w:hint="eastAsia" w:ascii="仿宋_GB2312" w:eastAsia="仿宋_GB2312" w:cs="仿宋_GB2312"/>
          <w:color w:val="auto"/>
          <w:sz w:val="32"/>
          <w:szCs w:val="32"/>
          <w:u w:val="none"/>
          <w:lang w:val="en-US" w:eastAsia="zh-CN" w:bidi="ar-SA"/>
        </w:rPr>
        <w:t>安排</w:t>
      </w:r>
      <w:r>
        <w:rPr>
          <w:rFonts w:hint="eastAsia" w:ascii="仿宋_GB2312" w:eastAsia="仿宋_GB2312" w:cs="仿宋_GB2312"/>
          <w:color w:val="auto"/>
          <w:sz w:val="32"/>
          <w:szCs w:val="32"/>
          <w:u w:val="none"/>
          <w:lang w:bidi="ar-SA"/>
        </w:rPr>
        <w:t>预算周转金96万元</w:t>
      </w:r>
      <w:r>
        <w:rPr>
          <w:rFonts w:hint="eastAsia" w:ascii="仿宋_GB2312" w:eastAsia="仿宋_GB2312" w:cs="仿宋_GB2312"/>
          <w:color w:val="auto"/>
          <w:sz w:val="32"/>
          <w:szCs w:val="32"/>
          <w:u w:val="none"/>
          <w:lang w:eastAsia="zh-CN" w:bidi="ar-SA"/>
        </w:rPr>
        <w:t>，</w:t>
      </w:r>
      <w:r>
        <w:rPr>
          <w:rFonts w:hint="eastAsia" w:ascii="仿宋_GB2312" w:eastAsia="仿宋_GB2312" w:cs="仿宋_GB2312"/>
          <w:color w:val="auto"/>
          <w:sz w:val="32"/>
          <w:szCs w:val="32"/>
          <w:u w:val="none"/>
          <w:lang w:val="en-US" w:eastAsia="zh-CN" w:bidi="ar-SA"/>
        </w:rPr>
        <w:t>上半年均未使用</w:t>
      </w:r>
      <w:r>
        <w:rPr>
          <w:rFonts w:hint="eastAsia" w:ascii="仿宋_GB2312" w:eastAsia="仿宋_GB2312" w:cs="仿宋_GB2312"/>
          <w:color w:val="auto"/>
          <w:sz w:val="32"/>
          <w:szCs w:val="32"/>
          <w:u w:val="none"/>
          <w:lang w:eastAsia="zh-CN" w:bidi="ar-SA"/>
        </w:rPr>
        <w:t>。</w:t>
      </w:r>
      <w:r>
        <w:rPr>
          <w:rFonts w:hint="eastAsia" w:ascii="仿宋_GB2312" w:eastAsia="仿宋_GB2312" w:cs="仿宋_GB2312"/>
          <w:color w:val="auto"/>
          <w:sz w:val="32"/>
          <w:szCs w:val="32"/>
          <w:u w:val="none"/>
          <w:lang w:val="en-US" w:eastAsia="zh-CN" w:bidi="ar-SA"/>
        </w:rPr>
        <w:t>2024年底预算稳定调节基金4809万元，当年已全部使用。</w:t>
      </w:r>
      <w:r>
        <w:rPr>
          <w:rFonts w:hint="eastAsia" w:ascii="仿宋_GB2312" w:eastAsia="仿宋_GB2312" w:cs="仿宋_GB2312"/>
          <w:sz w:val="32"/>
          <w:szCs w:val="32"/>
          <w:lang w:bidi="ar-SA"/>
        </w:rPr>
        <w:t>全县一般公共预算</w:t>
      </w:r>
      <w:r>
        <w:rPr>
          <w:rFonts w:hint="eastAsia" w:ascii="仿宋_GB2312" w:eastAsia="仿宋_GB2312" w:cs="仿宋_GB2312"/>
          <w:sz w:val="32"/>
          <w:szCs w:val="32"/>
          <w:u w:val="none"/>
          <w:lang w:bidi="ar-SA"/>
        </w:rPr>
        <w:t>202</w:t>
      </w:r>
      <w:r>
        <w:rPr>
          <w:rFonts w:hint="eastAsia" w:ascii="仿宋_GB2312" w:eastAsia="仿宋_GB2312" w:cs="仿宋_GB2312"/>
          <w:sz w:val="32"/>
          <w:szCs w:val="32"/>
          <w:u w:val="none"/>
          <w:lang w:val="en-US" w:eastAsia="zh-CN" w:bidi="ar-SA"/>
        </w:rPr>
        <w:t>4</w:t>
      </w:r>
      <w:r>
        <w:rPr>
          <w:rFonts w:hint="eastAsia" w:ascii="仿宋_GB2312" w:eastAsia="仿宋_GB2312" w:cs="仿宋_GB2312"/>
          <w:sz w:val="32"/>
          <w:szCs w:val="32"/>
          <w:u w:val="none"/>
          <w:lang w:bidi="ar-SA"/>
        </w:rPr>
        <w:t>年结转202</w:t>
      </w:r>
      <w:r>
        <w:rPr>
          <w:rFonts w:hint="eastAsia" w:ascii="仿宋_GB2312" w:eastAsia="仿宋_GB2312" w:cs="仿宋_GB2312"/>
          <w:sz w:val="32"/>
          <w:szCs w:val="32"/>
          <w:u w:val="none"/>
          <w:lang w:val="en-US" w:eastAsia="zh-CN" w:bidi="ar-SA"/>
        </w:rPr>
        <w:t>5</w:t>
      </w:r>
      <w:r>
        <w:rPr>
          <w:rFonts w:hint="eastAsia" w:ascii="仿宋_GB2312" w:eastAsia="仿宋_GB2312" w:cs="仿宋_GB2312"/>
          <w:sz w:val="32"/>
          <w:szCs w:val="32"/>
          <w:u w:val="none"/>
          <w:lang w:bidi="ar-SA"/>
        </w:rPr>
        <w:t>年使用资金</w:t>
      </w:r>
      <w:r>
        <w:rPr>
          <w:rFonts w:hint="eastAsia" w:ascii="仿宋_GB2312" w:eastAsia="仿宋_GB2312" w:cs="仿宋_GB2312"/>
          <w:sz w:val="32"/>
          <w:szCs w:val="32"/>
          <w:u w:val="none"/>
          <w:lang w:val="en-US" w:eastAsia="zh-CN" w:bidi="ar-SA"/>
        </w:rPr>
        <w:t>10421</w:t>
      </w:r>
      <w:r>
        <w:rPr>
          <w:rFonts w:hint="eastAsia" w:ascii="仿宋_GB2312" w:eastAsia="仿宋_GB2312" w:cs="仿宋_GB2312"/>
          <w:sz w:val="32"/>
          <w:szCs w:val="32"/>
          <w:u w:val="none"/>
          <w:lang w:bidi="ar-SA"/>
        </w:rPr>
        <w:t>万元，</w:t>
      </w:r>
      <w:r>
        <w:rPr>
          <w:rFonts w:hint="eastAsia" w:ascii="仿宋_GB2312" w:eastAsia="仿宋_GB2312" w:cs="仿宋_GB2312"/>
          <w:sz w:val="32"/>
          <w:szCs w:val="32"/>
          <w:u w:val="none"/>
          <w:lang w:val="en-US" w:eastAsia="zh-CN" w:bidi="ar-SA"/>
        </w:rPr>
        <w:t>上半年</w:t>
      </w:r>
      <w:r>
        <w:rPr>
          <w:rFonts w:hint="eastAsia" w:ascii="仿宋_GB2312" w:eastAsia="仿宋_GB2312" w:cs="仿宋_GB2312"/>
          <w:sz w:val="32"/>
          <w:szCs w:val="32"/>
          <w:u w:val="none"/>
          <w:lang w:bidi="ar-SA"/>
        </w:rPr>
        <w:t>支出</w:t>
      </w:r>
      <w:r>
        <w:rPr>
          <w:rFonts w:hint="eastAsia" w:ascii="仿宋_GB2312" w:eastAsia="仿宋_GB2312" w:cs="仿宋_GB2312"/>
          <w:sz w:val="32"/>
          <w:szCs w:val="32"/>
          <w:u w:val="none"/>
          <w:lang w:val="en-US" w:eastAsia="zh-CN" w:bidi="ar-SA"/>
        </w:rPr>
        <w:t>3586万元</w:t>
      </w:r>
      <w:r>
        <w:rPr>
          <w:rFonts w:hint="eastAsia" w:ascii="仿宋_GB2312" w:eastAsia="仿宋_GB2312" w:cs="仿宋_GB2312"/>
          <w:color w:val="auto"/>
          <w:sz w:val="32"/>
          <w:szCs w:val="32"/>
          <w:lang w:bidi="ar-SA"/>
        </w:rPr>
        <w:t>。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 w:bidi="ar-SA"/>
        </w:rPr>
        <w:t>其中：上级专项资金6375万元，</w:t>
      </w:r>
      <w:r>
        <w:rPr>
          <w:rFonts w:hint="eastAsia" w:ascii="仿宋_GB2312" w:eastAsia="仿宋_GB2312" w:cs="仿宋_GB2312"/>
          <w:sz w:val="32"/>
          <w:szCs w:val="32"/>
          <w:u w:val="none"/>
          <w:lang w:bidi="ar-SA"/>
        </w:rPr>
        <w:t>支出</w:t>
      </w:r>
      <w:r>
        <w:rPr>
          <w:rFonts w:hint="eastAsia" w:ascii="仿宋_GB2312" w:eastAsia="仿宋_GB2312" w:cs="仿宋_GB2312"/>
          <w:sz w:val="32"/>
          <w:szCs w:val="32"/>
          <w:u w:val="none"/>
          <w:lang w:val="en-US" w:eastAsia="zh-CN" w:bidi="ar-SA"/>
        </w:rPr>
        <w:t>3391万元；债券资金4046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 w:bidi="ar-SA"/>
        </w:rPr>
        <w:t>万元，</w:t>
      </w:r>
      <w:r>
        <w:rPr>
          <w:rFonts w:hint="eastAsia" w:ascii="仿宋_GB2312" w:eastAsia="仿宋_GB2312" w:cs="仿宋_GB2312"/>
          <w:sz w:val="32"/>
          <w:szCs w:val="32"/>
          <w:u w:val="none"/>
          <w:lang w:bidi="ar-SA"/>
        </w:rPr>
        <w:t>支出</w:t>
      </w:r>
      <w:r>
        <w:rPr>
          <w:rFonts w:hint="eastAsia" w:ascii="仿宋_GB2312" w:eastAsia="仿宋_GB2312" w:cs="仿宋_GB2312"/>
          <w:sz w:val="32"/>
          <w:szCs w:val="32"/>
          <w:u w:val="none"/>
          <w:lang w:val="en-US" w:eastAsia="zh-CN" w:bidi="ar-SA"/>
        </w:rPr>
        <w:t>196万元。</w:t>
      </w:r>
    </w:p>
    <w:p w14:paraId="5D011EFA">
      <w:pPr>
        <w:pStyle w:val="17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b/>
          <w:strike w:val="0"/>
          <w:dstrike w:val="0"/>
          <w:snapToGrid w:val="0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Arial" w:eastAsia="仿宋_GB2312" w:cs="仿宋_GB2312"/>
          <w:snapToGrid w:val="0"/>
          <w:color w:val="auto"/>
          <w:kern w:val="0"/>
          <w:sz w:val="32"/>
          <w:szCs w:val="32"/>
          <w:u w:val="none"/>
          <w:lang w:val="en-US" w:eastAsia="zh-CN" w:bidi="ar-SA"/>
        </w:rPr>
        <w:t>我县未设立政府投资基金。</w:t>
      </w:r>
    </w:p>
    <w:p w14:paraId="563710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60" w:firstLineChars="200"/>
        <w:jc w:val="both"/>
        <w:textAlignment w:val="baseline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pacing w:val="5"/>
          <w:sz w:val="32"/>
          <w:szCs w:val="32"/>
          <w:lang w:val="en-US" w:eastAsia="zh-CN"/>
        </w:rPr>
        <w:t>二、存在问题</w:t>
      </w:r>
    </w:p>
    <w:p w14:paraId="28EEEB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整体来看，我县上半年预算执行平稳有序，但也存在一些困难和问题。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收入方面，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受减税降费、留抵退税等经济形势因素影响，组织收入的压力将伴随全年，非税收入占比较高，税收收入质量差，土地出让收入持续处于较低水平。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支出方面，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政府债务还本付息、民生保障等刚性支出不断增长，目前，各领域对财政资金需求较大，支持重点项目建设、保障基本民生发展、加强科技创新、国债项目配套资金等方面都需要加强支出保障，突发事件对财政保障的要求越来越高，收支矛盾进一步凸显，财政平稳运行存在一定压力。</w:t>
      </w:r>
    </w:p>
    <w:p w14:paraId="0A6F2A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b/>
          <w:bCs w:val="0"/>
          <w:strike w:val="0"/>
          <w:dstrike w:val="0"/>
          <w:snapToGrid w:val="0"/>
          <w:color w:val="000000"/>
          <w:kern w:val="0"/>
          <w:sz w:val="32"/>
          <w:szCs w:val="32"/>
          <w:u w:val="none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三、下步计划</w:t>
      </w:r>
    </w:p>
    <w:p w14:paraId="73066412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643" w:firstLineChars="200"/>
        <w:rPr>
          <w:rFonts w:hint="eastAsia" w:ascii="仿宋_GB2312" w:hAnsi="仿宋_GB2312" w:eastAsia="仿宋_GB2312" w:cs="仿宋_GB2312"/>
          <w:b w:val="0"/>
          <w:bCs/>
          <w:strike w:val="0"/>
          <w:dstrike w:val="0"/>
          <w:snapToGrid w:val="0"/>
          <w:color w:val="000000"/>
          <w:kern w:val="0"/>
          <w:sz w:val="32"/>
          <w:szCs w:val="32"/>
          <w:u w:val="none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/>
          <w:bCs w:val="0"/>
          <w:strike w:val="0"/>
          <w:dstrike w:val="0"/>
          <w:snapToGrid w:val="0"/>
          <w:color w:val="000000"/>
          <w:kern w:val="0"/>
          <w:sz w:val="32"/>
          <w:szCs w:val="32"/>
          <w:u w:val="none"/>
          <w:lang w:val="en-US" w:eastAsia="zh-CN" w:bidi="ar-SA"/>
        </w:rPr>
        <w:t>一是全力夯实财源建设。</w:t>
      </w:r>
      <w:r>
        <w:rPr>
          <w:rFonts w:hint="eastAsia" w:ascii="仿宋_GB2312" w:hAnsi="仿宋_GB2312" w:eastAsia="仿宋_GB2312" w:cs="仿宋_GB2312"/>
          <w:b w:val="0"/>
          <w:bCs/>
          <w:strike w:val="0"/>
          <w:dstrike w:val="0"/>
          <w:snapToGrid w:val="0"/>
          <w:color w:val="000000"/>
          <w:kern w:val="0"/>
          <w:sz w:val="32"/>
          <w:szCs w:val="32"/>
          <w:u w:val="none"/>
          <w:lang w:val="en-US" w:eastAsia="zh-CN" w:bidi="ar-SA"/>
        </w:rPr>
        <w:t>充分发挥深泽县财源建设领导小组机制运行作用，强化日常调度频次，深化动态分析研判，细化压实末端责任，依规核明事业收费，加强重点税源入库，整治隐性流失问题，向上问计争取项目资金，深化国有资产管理体制改革，规范国有企业经营管理，确保财政收入稳定增长。</w:t>
      </w:r>
    </w:p>
    <w:p w14:paraId="45A75FF7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643" w:firstLineChars="200"/>
        <w:rPr>
          <w:rFonts w:hint="eastAsia" w:ascii="仿宋_GB2312" w:hAnsi="仿宋_GB2312" w:eastAsia="仿宋_GB2312" w:cs="仿宋_GB2312"/>
          <w:b w:val="0"/>
          <w:bCs/>
          <w:strike w:val="0"/>
          <w:dstrike w:val="0"/>
          <w:snapToGrid w:val="0"/>
          <w:color w:val="000000"/>
          <w:kern w:val="0"/>
          <w:sz w:val="32"/>
          <w:szCs w:val="32"/>
          <w:u w:val="none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/>
          <w:bCs w:val="0"/>
          <w:strike w:val="0"/>
          <w:dstrike w:val="0"/>
          <w:snapToGrid w:val="0"/>
          <w:color w:val="000000"/>
          <w:kern w:val="0"/>
          <w:sz w:val="32"/>
          <w:szCs w:val="32"/>
          <w:u w:val="none"/>
          <w:lang w:val="en-US" w:eastAsia="zh-CN" w:bidi="ar-SA"/>
        </w:rPr>
        <w:t>二是持续强化预算约束。</w:t>
      </w:r>
      <w:r>
        <w:rPr>
          <w:rFonts w:hint="eastAsia" w:ascii="仿宋_GB2312" w:hAnsi="仿宋_GB2312" w:eastAsia="仿宋_GB2312" w:cs="仿宋_GB2312"/>
          <w:b w:val="0"/>
          <w:bCs/>
          <w:strike w:val="0"/>
          <w:dstrike w:val="0"/>
          <w:snapToGrid w:val="0"/>
          <w:color w:val="000000"/>
          <w:kern w:val="0"/>
          <w:sz w:val="32"/>
          <w:szCs w:val="32"/>
          <w:u w:val="none"/>
          <w:lang w:val="en-US" w:eastAsia="zh-CN" w:bidi="ar-SA"/>
        </w:rPr>
        <w:t>大力压减一般性支出和非必要支出，树牢“过紧日子”思想，把有限的资金用到“刀刃”上，统筹财力，集中优先保障“保基本民生、保工资、保运转”支出。严格审查资金拨付，根据财政收支的实际情况和资金需求，通过优化资金调度时序、盘活存量沉淀资金等举措，合理安排库款支出，统筹资金保障重大部署，开展绩效与预算执行“双监控”，抓牢抓实财会监督，提高资金使用绩效与预算执行效能。</w:t>
      </w:r>
    </w:p>
    <w:p w14:paraId="087C9379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3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strike w:val="0"/>
          <w:dstrike w:val="0"/>
          <w:snapToGrid w:val="0"/>
          <w:color w:val="000000"/>
          <w:kern w:val="0"/>
          <w:sz w:val="32"/>
          <w:szCs w:val="32"/>
          <w:u w:val="none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/>
          <w:bCs w:val="0"/>
          <w:strike w:val="0"/>
          <w:dstrike w:val="0"/>
          <w:snapToGrid w:val="0"/>
          <w:color w:val="000000"/>
          <w:kern w:val="0"/>
          <w:sz w:val="32"/>
          <w:szCs w:val="32"/>
          <w:u w:val="none"/>
          <w:lang w:val="en-US" w:eastAsia="zh-CN" w:bidi="ar-SA"/>
        </w:rPr>
        <w:t>三是严控财政风险底线。</w:t>
      </w:r>
      <w:r>
        <w:rPr>
          <w:rFonts w:hint="eastAsia" w:ascii="仿宋_GB2312" w:hAnsi="仿宋_GB2312" w:eastAsia="仿宋_GB2312" w:cs="仿宋_GB2312"/>
          <w:b w:val="0"/>
          <w:bCs/>
          <w:strike w:val="0"/>
          <w:dstrike w:val="0"/>
          <w:snapToGrid w:val="0"/>
          <w:color w:val="000000"/>
          <w:kern w:val="0"/>
          <w:sz w:val="32"/>
          <w:szCs w:val="32"/>
          <w:u w:val="none"/>
          <w:lang w:val="en-US" w:eastAsia="zh-CN" w:bidi="ar-SA"/>
        </w:rPr>
        <w:t>加强收支、“三保”及库款监测，灵活运用债务展期、债务置换、资金统筹等手段及时消除隐患，确保按时还本付息，严防新增隐性债务，坚决守住风险底线。依法依规统筹盘活存量资金，将闲置、沉淀的资金调整用于急需支持的领域，提高资金使用效率。同时持续加强对预算单位预算执行情况的内部监督检查，自觉接受人大、审计等外部监督，主动公开预算执行情况，接受社会监督。</w:t>
      </w:r>
    </w:p>
    <w:p w14:paraId="228BE5EE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仿宋_GB2312" w:hAnsi="仿宋_GB2312" w:eastAsia="仿宋_GB2312" w:cs="仿宋_GB2312"/>
          <w:b w:val="0"/>
          <w:bCs/>
          <w:strike w:val="0"/>
          <w:dstrike w:val="0"/>
          <w:snapToGrid w:val="0"/>
          <w:color w:val="000000"/>
          <w:kern w:val="0"/>
          <w:sz w:val="32"/>
          <w:szCs w:val="32"/>
          <w:u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/>
          <w:strike w:val="0"/>
          <w:dstrike w:val="0"/>
          <w:snapToGrid w:val="0"/>
          <w:color w:val="000000"/>
          <w:kern w:val="0"/>
          <w:sz w:val="32"/>
          <w:szCs w:val="32"/>
          <w:u w:val="none"/>
          <w:lang w:val="en-US" w:eastAsia="zh-CN" w:bidi="ar-SA"/>
        </w:rPr>
        <w:t>以上报告，请予审议。</w:t>
      </w:r>
    </w:p>
    <w:sectPr>
      <w:footerReference r:id="rId5" w:type="default"/>
      <w:pgSz w:w="11900" w:h="16830"/>
      <w:pgMar w:top="2098" w:right="1474" w:bottom="1984" w:left="1587" w:header="0" w:footer="1077" w:gutter="0"/>
      <w:pgNumType w:fmt="decimal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4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9548993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CF03527"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CF03527"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bordersDoNotSurroundHeader w:val="0"/>
  <w:bordersDoNotSurroundFooter w:val="0"/>
  <w:documentProtection w:enforcement="0"/>
  <w:displayHorizontalDrawingGridEvery w:val="0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spaceForUL/>
    <w:balanceSingleByteDoubleByteWidth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</w:compat>
  <w:docVars>
    <w:docVar w:name="commondata" w:val="eyJoZGlkIjoiMDYwZmQzYTM1ZGY3YTdlOThkZGE0YTkxZDA5ZGFhN2QifQ=="/>
    <w:docVar w:name="KSO_WPS_MARK_KEY" w:val="e04be530-2ed0-4f38-a074-f543525d9db7"/>
  </w:docVars>
  <w:rsids>
    <w:rsidRoot w:val="00000000"/>
    <w:rsid w:val="00472820"/>
    <w:rsid w:val="016F1797"/>
    <w:rsid w:val="01F42F07"/>
    <w:rsid w:val="02644483"/>
    <w:rsid w:val="02E846FB"/>
    <w:rsid w:val="03820664"/>
    <w:rsid w:val="045F6A18"/>
    <w:rsid w:val="04770CCD"/>
    <w:rsid w:val="05E25786"/>
    <w:rsid w:val="06C43FA0"/>
    <w:rsid w:val="07336666"/>
    <w:rsid w:val="0735794F"/>
    <w:rsid w:val="0761601E"/>
    <w:rsid w:val="07D559C6"/>
    <w:rsid w:val="08244AC2"/>
    <w:rsid w:val="086A2351"/>
    <w:rsid w:val="09652EA6"/>
    <w:rsid w:val="0B725406"/>
    <w:rsid w:val="0B827B2C"/>
    <w:rsid w:val="0BB32207"/>
    <w:rsid w:val="0BC2550B"/>
    <w:rsid w:val="0BDC3CD2"/>
    <w:rsid w:val="0C731863"/>
    <w:rsid w:val="0C880246"/>
    <w:rsid w:val="0CFD578A"/>
    <w:rsid w:val="0D6D5D30"/>
    <w:rsid w:val="0DF4343E"/>
    <w:rsid w:val="0EA01B7B"/>
    <w:rsid w:val="0EAF2A15"/>
    <w:rsid w:val="0EEE649D"/>
    <w:rsid w:val="0FB53557"/>
    <w:rsid w:val="0FEE2B9A"/>
    <w:rsid w:val="10611EED"/>
    <w:rsid w:val="119A0B50"/>
    <w:rsid w:val="11CC01DF"/>
    <w:rsid w:val="123A3092"/>
    <w:rsid w:val="12545EB2"/>
    <w:rsid w:val="12677BC1"/>
    <w:rsid w:val="12D93307"/>
    <w:rsid w:val="13023C7F"/>
    <w:rsid w:val="1444274E"/>
    <w:rsid w:val="145B3470"/>
    <w:rsid w:val="14E00350"/>
    <w:rsid w:val="156A2A0F"/>
    <w:rsid w:val="156F628E"/>
    <w:rsid w:val="16A37B37"/>
    <w:rsid w:val="16DF31EF"/>
    <w:rsid w:val="170D692B"/>
    <w:rsid w:val="1A043E27"/>
    <w:rsid w:val="1A1866A3"/>
    <w:rsid w:val="1A8B7005"/>
    <w:rsid w:val="1B213D44"/>
    <w:rsid w:val="1B3E215D"/>
    <w:rsid w:val="1B8D2D24"/>
    <w:rsid w:val="1B9C7DC1"/>
    <w:rsid w:val="1C416DCC"/>
    <w:rsid w:val="1CA95092"/>
    <w:rsid w:val="1D0B5816"/>
    <w:rsid w:val="1EBC5D47"/>
    <w:rsid w:val="211D7CE9"/>
    <w:rsid w:val="21DB2344"/>
    <w:rsid w:val="23CC6139"/>
    <w:rsid w:val="23EB7B8D"/>
    <w:rsid w:val="24402FB3"/>
    <w:rsid w:val="24F36C08"/>
    <w:rsid w:val="250D1047"/>
    <w:rsid w:val="26A466F4"/>
    <w:rsid w:val="26D058A7"/>
    <w:rsid w:val="27470DB5"/>
    <w:rsid w:val="27AF2C5B"/>
    <w:rsid w:val="282B67A8"/>
    <w:rsid w:val="29F3375E"/>
    <w:rsid w:val="2D38264F"/>
    <w:rsid w:val="2D6D2891"/>
    <w:rsid w:val="2ED54B5C"/>
    <w:rsid w:val="2EF93F56"/>
    <w:rsid w:val="2F056E5D"/>
    <w:rsid w:val="30E67B79"/>
    <w:rsid w:val="314B3E80"/>
    <w:rsid w:val="31F95542"/>
    <w:rsid w:val="326055F9"/>
    <w:rsid w:val="333A3E82"/>
    <w:rsid w:val="36760EE8"/>
    <w:rsid w:val="37492C0F"/>
    <w:rsid w:val="37BC6EEE"/>
    <w:rsid w:val="3C316852"/>
    <w:rsid w:val="3C457247"/>
    <w:rsid w:val="3C9539A4"/>
    <w:rsid w:val="3DCE3BA1"/>
    <w:rsid w:val="3DE22FE0"/>
    <w:rsid w:val="3DEE7764"/>
    <w:rsid w:val="3E116B5D"/>
    <w:rsid w:val="40146C80"/>
    <w:rsid w:val="415723CD"/>
    <w:rsid w:val="41B33AA7"/>
    <w:rsid w:val="42277FF1"/>
    <w:rsid w:val="42BA3998"/>
    <w:rsid w:val="43120CA1"/>
    <w:rsid w:val="433E3E80"/>
    <w:rsid w:val="43466326"/>
    <w:rsid w:val="43A713E9"/>
    <w:rsid w:val="44042D53"/>
    <w:rsid w:val="44421112"/>
    <w:rsid w:val="45062FA4"/>
    <w:rsid w:val="460E51EE"/>
    <w:rsid w:val="46F26E20"/>
    <w:rsid w:val="49295199"/>
    <w:rsid w:val="49D67E8D"/>
    <w:rsid w:val="4A8400DC"/>
    <w:rsid w:val="4B8E2E8F"/>
    <w:rsid w:val="4BEC465C"/>
    <w:rsid w:val="4DD566FC"/>
    <w:rsid w:val="4DF06083"/>
    <w:rsid w:val="4EBD41B7"/>
    <w:rsid w:val="4EED611E"/>
    <w:rsid w:val="509623AA"/>
    <w:rsid w:val="50A15C7E"/>
    <w:rsid w:val="50D77377"/>
    <w:rsid w:val="51200A2D"/>
    <w:rsid w:val="52D7511B"/>
    <w:rsid w:val="53A90126"/>
    <w:rsid w:val="53CB1124"/>
    <w:rsid w:val="54F75BB2"/>
    <w:rsid w:val="580F0E92"/>
    <w:rsid w:val="58D053CB"/>
    <w:rsid w:val="58E72401"/>
    <w:rsid w:val="5A185D5E"/>
    <w:rsid w:val="5A427C66"/>
    <w:rsid w:val="5B0150AF"/>
    <w:rsid w:val="5BA82326"/>
    <w:rsid w:val="5C2F3368"/>
    <w:rsid w:val="5CCB3F43"/>
    <w:rsid w:val="5D0E61D9"/>
    <w:rsid w:val="5D7C6FEB"/>
    <w:rsid w:val="5DD2052A"/>
    <w:rsid w:val="5DD8344E"/>
    <w:rsid w:val="5E033269"/>
    <w:rsid w:val="5E5370A5"/>
    <w:rsid w:val="5E790EED"/>
    <w:rsid w:val="5EB17168"/>
    <w:rsid w:val="5EFE613B"/>
    <w:rsid w:val="5FF1511D"/>
    <w:rsid w:val="60706F31"/>
    <w:rsid w:val="609D1ABE"/>
    <w:rsid w:val="60B53A52"/>
    <w:rsid w:val="60B60A66"/>
    <w:rsid w:val="61290F62"/>
    <w:rsid w:val="61730705"/>
    <w:rsid w:val="61EC6729"/>
    <w:rsid w:val="632717A7"/>
    <w:rsid w:val="63F03745"/>
    <w:rsid w:val="64651367"/>
    <w:rsid w:val="64FB7E2B"/>
    <w:rsid w:val="651714C4"/>
    <w:rsid w:val="65ED6CD8"/>
    <w:rsid w:val="66846F11"/>
    <w:rsid w:val="67513297"/>
    <w:rsid w:val="67D60DD3"/>
    <w:rsid w:val="6959497D"/>
    <w:rsid w:val="69B53FB1"/>
    <w:rsid w:val="6A7D0A76"/>
    <w:rsid w:val="6B985938"/>
    <w:rsid w:val="6C7D4538"/>
    <w:rsid w:val="6D020F77"/>
    <w:rsid w:val="6E000A04"/>
    <w:rsid w:val="6E0C6169"/>
    <w:rsid w:val="6E0E5823"/>
    <w:rsid w:val="6F935F89"/>
    <w:rsid w:val="700E1C02"/>
    <w:rsid w:val="70476A93"/>
    <w:rsid w:val="70A94143"/>
    <w:rsid w:val="72687D0E"/>
    <w:rsid w:val="72C04CD6"/>
    <w:rsid w:val="73135DD9"/>
    <w:rsid w:val="734E25B7"/>
    <w:rsid w:val="73C54DAC"/>
    <w:rsid w:val="74615D16"/>
    <w:rsid w:val="74B44E65"/>
    <w:rsid w:val="74CE5641"/>
    <w:rsid w:val="74FE75E8"/>
    <w:rsid w:val="759B5228"/>
    <w:rsid w:val="7620103F"/>
    <w:rsid w:val="77A50994"/>
    <w:rsid w:val="78326A7C"/>
    <w:rsid w:val="7863107C"/>
    <w:rsid w:val="791A7CF2"/>
    <w:rsid w:val="798062A6"/>
    <w:rsid w:val="79BC4EE7"/>
    <w:rsid w:val="7BB340C8"/>
    <w:rsid w:val="7BC9409A"/>
    <w:rsid w:val="7C717E23"/>
    <w:rsid w:val="7D2F3C22"/>
    <w:rsid w:val="7DAA3435"/>
    <w:rsid w:val="7F673200"/>
    <w:rsid w:val="7FA00CB0"/>
    <w:rsid w:val="7FEC5DF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unhideWhenUsed/>
    <w:qFormat/>
    <w:uiPriority w:val="9"/>
    <w:pPr>
      <w:keepNext/>
      <w:keepLines/>
      <w:spacing w:before="260" w:after="260" w:line="415" w:lineRule="auto"/>
      <w:outlineLvl w:val="1"/>
    </w:pPr>
    <w:rPr>
      <w:rFonts w:eastAsia="黑体"/>
      <w:b/>
      <w:bCs/>
      <w:sz w:val="32"/>
      <w:szCs w:val="32"/>
    </w:rPr>
  </w:style>
  <w:style w:type="character" w:default="1" w:styleId="11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semiHidden/>
    <w:qFormat/>
    <w:uiPriority w:val="0"/>
    <w:rPr>
      <w:rFonts w:ascii="仿宋" w:hAnsi="仿宋" w:eastAsia="仿宋" w:cs="仿宋"/>
      <w:sz w:val="32"/>
      <w:szCs w:val="32"/>
      <w:lang w:val="en-US" w:eastAsia="en-US" w:bidi="ar-SA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footnote text"/>
    <w:qFormat/>
    <w:uiPriority w:val="0"/>
    <w:pPr>
      <w:widowControl w:val="0"/>
      <w:snapToGrid w:val="0"/>
    </w:pPr>
    <w:rPr>
      <w:rFonts w:ascii="Calibri" w:hAnsi="Calibri" w:eastAsia="宋体" w:cs="Times New Roman"/>
      <w:kern w:val="2"/>
      <w:sz w:val="18"/>
      <w:szCs w:val="24"/>
      <w:lang w:val="en-US" w:eastAsia="zh-CN" w:bidi="ar-SA"/>
    </w:rPr>
  </w:style>
  <w:style w:type="paragraph" w:styleId="8">
    <w:name w:val="toc 2"/>
    <w:basedOn w:val="1"/>
    <w:next w:val="1"/>
    <w:qFormat/>
    <w:uiPriority w:val="0"/>
    <w:pPr>
      <w:ind w:left="210"/>
      <w:jc w:val="left"/>
    </w:pPr>
    <w:rPr>
      <w:rFonts w:cs="Times New Roman"/>
      <w:smallCaps/>
      <w:sz w:val="20"/>
      <w:szCs w:val="20"/>
    </w:rPr>
  </w:style>
  <w:style w:type="paragraph" w:styleId="9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12">
    <w:name w:val="page number"/>
    <w:basedOn w:val="11"/>
    <w:qFormat/>
    <w:uiPriority w:val="0"/>
  </w:style>
  <w:style w:type="paragraph" w:customStyle="1" w:styleId="13">
    <w:name w:val="Body Text First Indent 21"/>
    <w:basedOn w:val="14"/>
    <w:qFormat/>
    <w:uiPriority w:val="0"/>
    <w:pPr>
      <w:ind w:left="0" w:leftChars="0" w:firstLine="200" w:firstLineChars="200"/>
    </w:pPr>
    <w:rPr>
      <w:rFonts w:ascii="Times New Roman" w:hAnsi="Times New Roman" w:cs="Times New Roman"/>
    </w:rPr>
  </w:style>
  <w:style w:type="paragraph" w:customStyle="1" w:styleId="14">
    <w:name w:val="Body Text Indent1"/>
    <w:basedOn w:val="1"/>
    <w:qFormat/>
    <w:uiPriority w:val="0"/>
    <w:pPr>
      <w:ind w:left="420" w:leftChars="200"/>
    </w:pPr>
    <w:rPr>
      <w:rFonts w:cs="黑体"/>
      <w:sz w:val="24"/>
    </w:rPr>
  </w:style>
  <w:style w:type="table" w:customStyle="1" w:styleId="1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16">
    <w:name w:val="NormalCharacter"/>
    <w:qFormat/>
    <w:uiPriority w:val="0"/>
  </w:style>
  <w:style w:type="paragraph" w:customStyle="1" w:styleId="17">
    <w:name w:val="List Paragraph_c924a4ca-8740-4cf7-a162-81384255897d"/>
    <w:basedOn w:val="1"/>
    <w:qFormat/>
    <w:uiPriority w:val="0"/>
    <w:pPr>
      <w:ind w:firstLine="200" w:firstLineChars="200"/>
    </w:pPr>
  </w:style>
  <w:style w:type="paragraph" w:customStyle="1" w:styleId="18">
    <w:name w:val="二级标题格式"/>
    <w:next w:val="19"/>
    <w:autoRedefine/>
    <w:qFormat/>
    <w:uiPriority w:val="0"/>
    <w:pPr>
      <w:widowControl w:val="0"/>
      <w:spacing w:beforeLines="50" w:afterLines="50" w:line="400" w:lineRule="exact"/>
      <w:ind w:firstLine="200" w:firstLineChars="200"/>
      <w:outlineLvl w:val="1"/>
    </w:pPr>
    <w:rPr>
      <w:rFonts w:ascii="Calibri" w:hAnsi="Calibri" w:eastAsia="仿宋_GB2312" w:cs="Times New Roman"/>
      <w:kern w:val="2"/>
      <w:sz w:val="24"/>
      <w:lang w:val="en-US" w:eastAsia="zh-CN" w:bidi="ar-SA"/>
    </w:rPr>
  </w:style>
  <w:style w:type="paragraph" w:customStyle="1" w:styleId="19">
    <w:name w:val="正文格式"/>
    <w:autoRedefine/>
    <w:qFormat/>
    <w:uiPriority w:val="0"/>
    <w:pPr>
      <w:widowControl w:val="0"/>
      <w:spacing w:line="400" w:lineRule="exact"/>
      <w:ind w:firstLine="200" w:firstLineChars="200"/>
    </w:pPr>
    <w:rPr>
      <w:rFonts w:ascii="Calibri" w:hAnsi="Calibri" w:eastAsia="仿宋_GB2312" w:cs="Times New Roman"/>
      <w:kern w:val="2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6</Pages>
  <Words>2642</Words>
  <Characters>3035</Characters>
  <Lines>1</Lines>
  <Paragraphs>1</Paragraphs>
  <TotalTime>3</TotalTime>
  <ScaleCrop>false</ScaleCrop>
  <LinksUpToDate>false</LinksUpToDate>
  <CharactersWithSpaces>3043</CharactersWithSpaces>
  <Application>WPS Office_12.1.0.22529_F1E327BC-269C-435d-A152-05C5408002CA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2024-12-27T17:01:00Z</dcterms:created>
  <dc:creator>Kingsoft-PDF</dc:creator>
  <cp:lastModifiedBy>云柯</cp:lastModifiedBy>
  <cp:lastPrinted>2025-08-19T06:53:00Z</cp:lastPrinted>
  <dcterms:modified xsi:type="dcterms:W3CDTF">2025-09-09T01:13:31Z</dcterms:modified>
  <dc:subject>pdfbuilder</dc:subject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2024-12-27T17:01:13Z</vt:filetime>
  </property>
  <property fmtid="{D5CDD505-2E9C-101B-9397-08002B2CF9AE}" pid="4" name="UsrData">
    <vt:lpwstr>676e6cd79e0810001fb499e6wl</vt:lpwstr>
  </property>
  <property fmtid="{D5CDD505-2E9C-101B-9397-08002B2CF9AE}" pid="5" name="KSOTemplateDocerSaveRecord">
    <vt:lpwstr>eyJoZGlkIjoiMTI3NTc5NjllNTJiYmEyNTYzNTE4ZDdiOGNhMjc1ZTEiLCJ1c2VySWQiOiI0NTU3OTE1MzgifQ==</vt:lpwstr>
  </property>
  <property fmtid="{D5CDD505-2E9C-101B-9397-08002B2CF9AE}" pid="6" name="KSOProductBuildVer">
    <vt:lpwstr>2052-12.1.0.22529</vt:lpwstr>
  </property>
  <property fmtid="{D5CDD505-2E9C-101B-9397-08002B2CF9AE}" pid="7" name="ICV">
    <vt:lpwstr>4542868DA31E4C54B031F07DBC4EED7B_12</vt:lpwstr>
  </property>
</Properties>
</file>