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autoSpaceDN w:val="0"/>
        <w:spacing w:line="600" w:lineRule="exact"/>
        <w:jc w:val="center"/>
        <w:rPr>
          <w:rFonts w:ascii="宋体" w:cs="宋体" w:hAnsi="宋体"/>
          <w:b/>
          <w:color w:val="222222"/>
          <w:sz w:val="44"/>
        </w:rPr>
      </w:pPr>
      <w:r>
        <w:rPr>
          <w:rFonts w:ascii="宋体" w:cs="宋体" w:hAnsi="宋体" w:hint="eastAsia"/>
          <w:b/>
          <w:color w:val="222222"/>
          <w:sz w:val="44"/>
        </w:rPr>
        <w:t>深泽县202</w:t>
      </w:r>
      <w:r>
        <w:rPr>
          <w:rFonts w:ascii="宋体" w:cs="宋体" w:hAnsi="宋体"/>
          <w:b/>
          <w:color w:val="222222"/>
          <w:sz w:val="44"/>
        </w:rPr>
        <w:t>5</w:t>
      </w:r>
      <w:r>
        <w:rPr>
          <w:rFonts w:ascii="宋体" w:cs="宋体" w:hAnsi="宋体" w:hint="eastAsia"/>
          <w:b/>
          <w:color w:val="222222"/>
          <w:sz w:val="44"/>
        </w:rPr>
        <w:t>年第二十三次跨部门“双随机、一公开”联合抽查实施方案</w:t>
      </w:r>
      <w:bookmarkStart w:id="0" w:name="_GoBack"/>
      <w:bookmarkEnd w:id="0"/>
    </w:p>
    <w:p>
      <w:pPr>
        <w:adjustRightInd w:val="0"/>
        <w:snapToGrid w:val="0"/>
        <w:spacing w:line="560" w:lineRule="exact"/>
        <w:rPr>
          <w:rFonts w:ascii="仿宋_GB2312" w:hAnsi="仿宋_GB2312"/>
          <w:color w:val="222222"/>
          <w:sz w:val="32"/>
        </w:rPr>
      </w:pPr>
    </w:p>
    <w:p>
      <w:pPr>
        <w:adjustRightInd w:val="0"/>
        <w:spacing w:line="600" w:lineRule="exact"/>
        <w:ind w:firstLineChars="200" w:firstLine="640"/>
        <w:rPr>
          <w:rFonts w:ascii="仿宋" w:eastAsia="仿宋" w:cs="仿宋" w:hAnsi="仿宋"/>
          <w:color w:val="222222"/>
          <w:sz w:val="32"/>
        </w:rPr>
      </w:pPr>
      <w:r>
        <w:rPr>
          <w:rFonts w:ascii="仿宋" w:eastAsia="仿宋" w:cs="仿宋" w:hAnsi="仿宋" w:hint="eastAsia"/>
          <w:color w:val="222222"/>
          <w:sz w:val="32"/>
        </w:rPr>
        <w:t>为深入推进“双随机、一公开”监管与企业信用风险分级分类监管有机结合，</w:t>
      </w:r>
      <w:r>
        <w:rPr>
          <w:rFonts w:ascii="仿宋" w:eastAsia="仿宋" w:cs="仿宋" w:hAnsi="仿宋" w:hint="eastAsia"/>
          <w:color w:val="000000"/>
          <w:kern w:val="60"/>
          <w:sz w:val="32"/>
          <w:szCs w:val="32"/>
        </w:rPr>
        <w:t>提高双随机抽查的精准性和靶向性，</w:t>
      </w:r>
      <w:r>
        <w:rPr>
          <w:rFonts w:ascii="仿宋" w:eastAsia="仿宋" w:cs="仿宋" w:hAnsi="仿宋" w:hint="eastAsia"/>
          <w:color w:val="222222"/>
          <w:sz w:val="32"/>
        </w:rPr>
        <w:t>根据《202</w:t>
      </w:r>
      <w:r>
        <w:rPr>
          <w:rFonts w:ascii="仿宋" w:eastAsia="仿宋" w:cs="仿宋" w:hAnsi="仿宋"/>
          <w:color w:val="222222"/>
          <w:sz w:val="32"/>
        </w:rPr>
        <w:t>5</w:t>
      </w:r>
      <w:r>
        <w:rPr>
          <w:rFonts w:ascii="仿宋" w:eastAsia="仿宋" w:cs="仿宋" w:hAnsi="仿宋" w:hint="eastAsia"/>
          <w:color w:val="222222"/>
          <w:sz w:val="32"/>
        </w:rPr>
        <w:t>年深泽县“双随机、一公开”监管工作实施</w:t>
      </w:r>
      <w:r>
        <w:rPr>
          <w:rFonts w:ascii="仿宋" w:eastAsia="仿宋" w:cs="仿宋" w:hAnsi="仿宋"/>
          <w:color w:val="222222"/>
          <w:sz w:val="32"/>
        </w:rPr>
        <w:t>方</w:t>
      </w:r>
      <w:r>
        <w:rPr>
          <w:rFonts w:ascii="仿宋" w:eastAsia="仿宋" w:cs="仿宋" w:hAnsi="仿宋" w:hint="eastAsia"/>
          <w:color w:val="222222"/>
          <w:sz w:val="32"/>
        </w:rPr>
        <w:t>案》、</w:t>
      </w:r>
      <w:r>
        <w:rPr>
          <w:rFonts w:ascii="仿宋" w:eastAsia="仿宋" w:cs="仿宋" w:hAnsi="仿宋" w:hint="eastAsia"/>
          <w:sz w:val="32"/>
          <w:szCs w:val="32"/>
        </w:rPr>
        <w:t>《深泽县202</w:t>
      </w:r>
      <w:r>
        <w:rPr>
          <w:rFonts w:ascii="仿宋" w:eastAsia="仿宋" w:cs="仿宋" w:hAnsi="仿宋"/>
          <w:sz w:val="32"/>
          <w:szCs w:val="32"/>
        </w:rPr>
        <w:t>5</w:t>
      </w:r>
      <w:r>
        <w:rPr>
          <w:rFonts w:ascii="仿宋" w:eastAsia="仿宋" w:cs="仿宋" w:hAnsi="仿宋" w:hint="eastAsia"/>
          <w:sz w:val="32"/>
          <w:szCs w:val="32"/>
        </w:rPr>
        <w:t>年部门联合随机抽查工作计划》</w:t>
      </w:r>
      <w:r>
        <w:rPr>
          <w:rFonts w:ascii="仿宋" w:eastAsia="仿宋" w:cs="仿宋" w:hAnsi="仿宋" w:hint="eastAsia"/>
          <w:color w:val="222222"/>
          <w:sz w:val="32"/>
        </w:rPr>
        <w:t>，我县决定组织开展20</w:t>
      </w:r>
      <w:r>
        <w:rPr>
          <w:rFonts w:ascii="仿宋" w:eastAsia="仿宋" w:cs="仿宋" w:hAnsi="仿宋"/>
          <w:color w:val="222222"/>
          <w:sz w:val="32"/>
        </w:rPr>
        <w:t>25</w:t>
      </w:r>
      <w:r>
        <w:rPr>
          <w:rFonts w:ascii="仿宋" w:eastAsia="仿宋" w:cs="仿宋" w:hAnsi="仿宋" w:hint="eastAsia"/>
          <w:color w:val="222222"/>
          <w:sz w:val="32"/>
        </w:rPr>
        <w:t>年第二十三次跨部门“双随机、一公开”联合抽查。特制定本方案。</w:t>
      </w:r>
    </w:p>
    <w:p>
      <w:pPr>
        <w:autoSpaceDN w:val="0"/>
        <w:spacing w:line="600" w:lineRule="exact"/>
        <w:ind w:leftChars="50" w:left="105" w:rightChars="50" w:right="105" w:firstLine="642"/>
        <w:rPr>
          <w:rFonts w:ascii="黑体" w:eastAsia="黑体" w:hAnsi="黑体"/>
          <w:color w:val="222222"/>
          <w:sz w:val="32"/>
        </w:rPr>
      </w:pPr>
      <w:r>
        <w:rPr>
          <w:rFonts w:ascii="黑体" w:eastAsia="黑体" w:hAnsi="黑体" w:hint="eastAsia"/>
          <w:color w:val="222222"/>
          <w:sz w:val="32"/>
        </w:rPr>
        <w:t>一、时间安排</w:t>
      </w:r>
    </w:p>
    <w:p>
      <w:pPr>
        <w:autoSpaceDN w:val="0"/>
        <w:spacing w:line="600" w:lineRule="exact"/>
        <w:ind w:leftChars="50" w:left="105" w:rightChars="50" w:right="105" w:firstLine="642"/>
        <w:rPr>
          <w:rFonts w:ascii="仿宋" w:eastAsia="仿宋" w:cs="仿宋" w:hAnsi="仿宋"/>
          <w:b/>
          <w:sz w:val="32"/>
        </w:rPr>
      </w:pPr>
      <w:r>
        <w:rPr>
          <w:rFonts w:ascii="仿宋" w:eastAsia="仿宋" w:cs="仿宋" w:hAnsi="仿宋" w:hint="eastAsia"/>
          <w:sz w:val="32"/>
        </w:rPr>
        <w:t>202</w:t>
      </w:r>
      <w:r>
        <w:rPr>
          <w:rFonts w:ascii="仿宋" w:eastAsia="仿宋" w:cs="仿宋" w:hAnsi="仿宋"/>
          <w:sz w:val="32"/>
        </w:rPr>
        <w:t>5</w:t>
      </w:r>
      <w:r>
        <w:rPr>
          <w:rFonts w:ascii="仿宋" w:eastAsia="仿宋" w:cs="仿宋" w:hAnsi="仿宋" w:hint="eastAsia"/>
          <w:sz w:val="32"/>
        </w:rPr>
        <w:t>年</w:t>
      </w:r>
      <w:r>
        <w:rPr>
          <w:rFonts w:ascii="仿宋" w:eastAsia="仿宋" w:cs="仿宋" w:hAnsi="仿宋"/>
          <w:sz w:val="32"/>
        </w:rPr>
        <w:t>8</w:t>
      </w:r>
      <w:r>
        <w:rPr>
          <w:rFonts w:ascii="仿宋" w:eastAsia="仿宋" w:cs="仿宋" w:hAnsi="仿宋" w:hint="eastAsia"/>
          <w:sz w:val="32"/>
        </w:rPr>
        <w:t>月</w:t>
      </w:r>
      <w:r>
        <w:rPr>
          <w:rFonts w:ascii="仿宋" w:eastAsia="仿宋" w:cs="仿宋" w:hAnsi="仿宋"/>
          <w:sz w:val="32"/>
        </w:rPr>
        <w:t>26</w:t>
      </w:r>
      <w:r>
        <w:rPr>
          <w:rFonts w:ascii="仿宋" w:eastAsia="仿宋" w:cs="仿宋" w:hAnsi="仿宋" w:hint="eastAsia"/>
          <w:sz w:val="32"/>
        </w:rPr>
        <w:t>日至11月30日。</w:t>
      </w:r>
    </w:p>
    <w:p>
      <w:pPr>
        <w:autoSpaceDN w:val="0"/>
        <w:spacing w:line="600" w:lineRule="exact"/>
        <w:ind w:leftChars="50" w:left="105" w:rightChars="50" w:right="105"/>
        <w:rPr>
          <w:rFonts w:ascii="黑体" w:eastAsia="黑体" w:hAnsi="黑体"/>
          <w:sz w:val="32"/>
        </w:rPr>
      </w:pPr>
      <w:r>
        <w:rPr>
          <w:rFonts w:ascii="黑体" w:eastAsia="黑体" w:hAnsi="黑体" w:hint="eastAsia"/>
          <w:sz w:val="32"/>
        </w:rPr>
        <w:t xml:space="preserve">    二、抽查事项内容</w:t>
      </w:r>
    </w:p>
    <w:p>
      <w:pPr>
        <w:autoSpaceDN w:val="0"/>
        <w:spacing w:line="600" w:lineRule="exact"/>
        <w:ind w:leftChars="50" w:left="105" w:rightChars="50" w:right="105" w:firstLine="640"/>
        <w:rPr>
          <w:rFonts w:ascii="仿宋" w:eastAsia="仿宋" w:cs="仿宋" w:hAnsi="仿宋"/>
          <w:bCs/>
          <w:sz w:val="32"/>
        </w:rPr>
      </w:pPr>
      <w:r>
        <w:rPr>
          <w:rFonts w:ascii="仿宋" w:eastAsia="仿宋" w:cs="仿宋" w:hAnsi="仿宋" w:hint="eastAsia"/>
          <w:sz w:val="32"/>
        </w:rPr>
        <w:t>1、</w:t>
      </w:r>
      <w:r>
        <w:rPr>
          <w:rFonts w:ascii="仿宋" w:eastAsia="仿宋" w:cs="仿宋" w:hAnsi="仿宋" w:hint="eastAsia"/>
          <w:b/>
          <w:bCs/>
          <w:sz w:val="32"/>
        </w:rPr>
        <w:t>清真食品生产经营主体</w:t>
      </w:r>
      <w:r>
        <w:rPr>
          <w:rFonts w:ascii="仿宋" w:eastAsia="仿宋" w:cs="仿宋" w:hAnsi="仿宋" w:hint="eastAsia"/>
          <w:b/>
          <w:bCs/>
          <w:sz w:val="32"/>
          <w:szCs w:val="32"/>
        </w:rPr>
        <w:t>:</w:t>
      </w:r>
      <w:r>
        <w:rPr>
          <w:rFonts w:ascii="仿宋_GB2312" w:eastAsia="仿宋_GB2312" w:cs="仿宋_GB2312" w:hint="eastAsia"/>
          <w:b/>
          <w:bCs/>
          <w:sz w:val="32"/>
          <w:szCs w:val="32"/>
        </w:rPr>
        <w:t xml:space="preserve"> 民宗局</w:t>
      </w:r>
      <w:r>
        <w:rPr>
          <w:rFonts w:ascii="仿宋" w:eastAsia="仿宋" w:cs="仿宋" w:hAnsi="仿宋" w:hint="eastAsia"/>
          <w:b/>
          <w:bCs/>
          <w:sz w:val="32"/>
          <w:szCs w:val="32"/>
        </w:rPr>
        <w:t>：</w:t>
      </w:r>
      <w:r>
        <w:rPr>
          <w:rFonts w:ascii="仿宋" w:eastAsia="仿宋" w:cs="仿宋" w:hAnsi="仿宋" w:hint="eastAsia"/>
          <w:bCs/>
          <w:sz w:val="32"/>
          <w:szCs w:val="32"/>
        </w:rPr>
        <w:t>对违反《河北省清真食品管理条例》的监督检查；贯彻落实民族政策和有关法律法规监督检查</w:t>
      </w:r>
      <w:r>
        <w:rPr>
          <w:rFonts w:ascii="仿宋" w:eastAsia="仿宋" w:cs="仿宋" w:hAnsi="仿宋" w:hint="eastAsia"/>
          <w:b/>
          <w:bCs/>
          <w:sz w:val="32"/>
          <w:szCs w:val="32"/>
        </w:rPr>
        <w:t>。市场监管局：</w:t>
      </w:r>
      <w:r>
        <w:rPr>
          <w:rFonts w:ascii="仿宋" w:eastAsia="仿宋" w:cs="仿宋" w:hAnsi="仿宋" w:hint="eastAsia"/>
          <w:bCs/>
          <w:sz w:val="32"/>
          <w:szCs w:val="32"/>
        </w:rPr>
        <w:t>食品销售监督检查;食用农产品市场销售质量安全检查。</w:t>
      </w:r>
    </w:p>
    <w:p>
      <w:pPr>
        <w:autoSpaceDN w:val="0"/>
        <w:spacing w:line="600" w:lineRule="exact"/>
        <w:ind w:rightChars="50" w:right="105" w:firstLineChars="200" w:firstLine="640"/>
        <w:rPr>
          <w:rFonts w:ascii="黑体" w:eastAsia="黑体" w:hAnsi="黑体"/>
          <w:sz w:val="32"/>
        </w:rPr>
      </w:pPr>
      <w:r>
        <w:rPr>
          <w:rFonts w:ascii="黑体" w:eastAsia="黑体" w:hAnsi="黑体" w:hint="eastAsia"/>
          <w:sz w:val="32"/>
        </w:rPr>
        <w:t>三、抽查对象范围及比例</w:t>
      </w:r>
    </w:p>
    <w:p>
      <w:pPr>
        <w:pStyle w:val="16"/>
        <w:snapToGrid w:val="0"/>
        <w:spacing w:after="0" w:line="600" w:lineRule="exact"/>
        <w:ind w:leftChars="0" w:left="0"/>
        <w:rPr>
          <w:rFonts w:ascii="仿宋" w:eastAsia="仿宋" w:cs="仿宋" w:hAnsi="仿宋"/>
          <w:w w:val="100"/>
          <w:sz w:val="32"/>
          <w:szCs w:val="32"/>
        </w:rPr>
      </w:pPr>
      <w:r>
        <w:rPr>
          <w:rFonts w:ascii="仿宋" w:eastAsia="仿宋" w:cs="仿宋" w:hAnsi="仿宋" w:hint="eastAsia"/>
          <w:w w:val="100"/>
          <w:sz w:val="32"/>
          <w:szCs w:val="32"/>
        </w:rPr>
        <w:t xml:space="preserve">  (一) 抽查对象范围：</w:t>
      </w:r>
      <w:r>
        <w:rPr>
          <w:rFonts w:ascii="仿宋" w:eastAsia="仿宋" w:cs="仿宋" w:hAnsi="仿宋" w:hint="eastAsia"/>
          <w:bCs/>
          <w:sz w:val="32"/>
        </w:rPr>
        <w:t>清真食品生产经营主体</w:t>
      </w:r>
      <w:r>
        <w:rPr>
          <w:rFonts w:ascii="仿宋" w:eastAsia="仿宋" w:cs="仿宋" w:hAnsi="仿宋" w:hint="eastAsia"/>
          <w:sz w:val="32"/>
        </w:rPr>
        <w:t>。</w:t>
      </w:r>
    </w:p>
    <w:p>
      <w:pPr>
        <w:pStyle w:val="16"/>
        <w:snapToGrid w:val="0"/>
        <w:spacing w:after="0" w:line="600" w:lineRule="exact"/>
        <w:ind w:leftChars="0" w:left="0"/>
        <w:rPr>
          <w:rFonts w:ascii="仿宋" w:eastAsia="仿宋" w:cs="仿宋" w:hAnsi="仿宋"/>
          <w:w w:val="100"/>
          <w:sz w:val="32"/>
          <w:szCs w:val="32"/>
        </w:rPr>
      </w:pPr>
      <w:r>
        <w:rPr>
          <w:rFonts w:ascii="仿宋" w:eastAsia="仿宋" w:cs="仿宋" w:hAnsi="仿宋" w:hint="eastAsia"/>
          <w:w w:val="100"/>
          <w:sz w:val="32"/>
          <w:szCs w:val="32"/>
        </w:rPr>
        <w:t xml:space="preserve"> （二）抽取比例：按照信用风险分级分类抽取3%以上。</w:t>
      </w:r>
    </w:p>
    <w:p>
      <w:pPr>
        <w:widowControl/>
        <w:spacing w:line="600" w:lineRule="exact"/>
        <w:ind w:leftChars="50" w:left="105" w:rightChars="50" w:right="105" w:firstLine="640"/>
        <w:rPr>
          <w:rFonts w:ascii="黑体" w:eastAsia="黑体" w:hAnsi="黑体"/>
          <w:color w:val="222222"/>
          <w:sz w:val="32"/>
        </w:rPr>
      </w:pPr>
      <w:r>
        <w:rPr>
          <w:rFonts w:ascii="黑体" w:eastAsia="黑体" w:hAnsi="黑体" w:hint="eastAsia"/>
          <w:color w:val="222222"/>
          <w:sz w:val="32"/>
        </w:rPr>
        <w:t>四、名单抽取及派发</w:t>
      </w:r>
    </w:p>
    <w:p>
      <w:pPr>
        <w:autoSpaceDN w:val="0"/>
        <w:spacing w:line="600" w:lineRule="exact"/>
        <w:ind w:leftChars="50" w:left="105" w:rightChars="50" w:right="105" w:firstLineChars="200" w:firstLine="640"/>
        <w:rPr>
          <w:rFonts w:ascii="仿宋" w:eastAsia="仿宋" w:cs="仿宋" w:hAnsi="仿宋"/>
          <w:color w:val="222222"/>
          <w:sz w:val="32"/>
        </w:rPr>
      </w:pPr>
      <w:r>
        <w:rPr>
          <w:rFonts w:ascii="仿宋" w:eastAsia="仿宋" w:cs="仿宋" w:hAnsi="仿宋" w:hint="eastAsia"/>
          <w:color w:val="222222"/>
          <w:sz w:val="32"/>
        </w:rPr>
        <w:t>（一）牵头单位通过“河北省双随机执法监管平台”抽取确定被检查对象，由“河北省双随机执法监管平台”自动派发到各监管单位，相关单位的管理员在两个工作日内完成比对和确认。</w:t>
      </w:r>
    </w:p>
    <w:p>
      <w:pPr>
        <w:autoSpaceDN w:val="0"/>
        <w:spacing w:line="600" w:lineRule="exact"/>
        <w:rPr>
          <w:rFonts w:ascii="仿宋" w:eastAsia="仿宋" w:cs="仿宋" w:hAnsi="仿宋"/>
          <w:color w:val="222222"/>
          <w:sz w:val="32"/>
        </w:rPr>
      </w:pPr>
      <w:r>
        <w:rPr>
          <w:rFonts w:ascii="仿宋" w:eastAsia="仿宋" w:cs="仿宋" w:hAnsi="仿宋" w:hint="eastAsia"/>
          <w:color w:val="222222"/>
          <w:sz w:val="32"/>
        </w:rPr>
        <w:t xml:space="preserve">   （二）各监管单位通过“河北省双随机执法监管平台”对被检查对象进行认领，从执法人员名录库中随机抽取执法检查人员进行匹配编组。</w:t>
      </w:r>
    </w:p>
    <w:p>
      <w:pPr>
        <w:autoSpaceDN w:val="0"/>
        <w:spacing w:line="600" w:lineRule="exact"/>
        <w:rPr>
          <w:rFonts w:ascii="仿宋" w:eastAsia="仿宋" w:cs="仿宋" w:hAnsi="仿宋"/>
          <w:color w:val="222222"/>
          <w:sz w:val="32"/>
        </w:rPr>
      </w:pPr>
      <w:r>
        <w:rPr>
          <w:rFonts w:ascii="仿宋" w:eastAsia="仿宋" w:cs="仿宋" w:hAnsi="仿宋" w:hint="eastAsia"/>
          <w:color w:val="222222"/>
          <w:sz w:val="32"/>
        </w:rPr>
        <w:t xml:space="preserve">   （三）被检查对象和检查人员确定后，由“河北省双随机执法监管平台”随机匹配，自动生成一户企业一份随机抽查联合检查记录表（简称“一企一表”），并自动派发到执法检查人员（可直接在APP端查看），实施检查。</w:t>
      </w:r>
    </w:p>
    <w:p>
      <w:pPr>
        <w:autoSpaceDN w:val="0"/>
        <w:spacing w:line="600" w:lineRule="exact"/>
        <w:ind w:firstLineChars="200" w:firstLine="640"/>
        <w:rPr>
          <w:rFonts w:ascii="仿宋" w:eastAsia="仿宋" w:hAnsi="仿宋"/>
          <w:color w:val="222222"/>
          <w:sz w:val="32"/>
        </w:rPr>
      </w:pPr>
      <w:r>
        <w:rPr>
          <w:rFonts w:ascii="黑体" w:eastAsia="黑体" w:hAnsi="黑体" w:hint="eastAsia"/>
          <w:color w:val="222222"/>
          <w:sz w:val="32"/>
        </w:rPr>
        <w:t>五、组织实施</w:t>
      </w:r>
    </w:p>
    <w:p>
      <w:pPr>
        <w:autoSpaceDN w:val="0"/>
        <w:spacing w:line="600" w:lineRule="exact"/>
        <w:ind w:firstLine="640"/>
        <w:rPr>
          <w:rFonts w:ascii="仿宋" w:eastAsia="仿宋" w:cs="仿宋" w:hAnsi="仿宋"/>
          <w:color w:val="222222"/>
          <w:sz w:val="32"/>
          <w:szCs w:val="32"/>
        </w:rPr>
      </w:pPr>
      <w:r>
        <w:rPr>
          <w:rFonts w:ascii="仿宋" w:eastAsia="仿宋" w:cs="仿宋" w:hAnsi="仿宋" w:hint="eastAsia"/>
          <w:color w:val="222222"/>
          <w:sz w:val="32"/>
          <w:szCs w:val="32"/>
        </w:rPr>
        <w:t>（一）任务分工</w:t>
      </w:r>
    </w:p>
    <w:p>
      <w:pPr>
        <w:autoSpaceDN w:val="0"/>
        <w:spacing w:line="600" w:lineRule="exact"/>
        <w:ind w:firstLine="640"/>
        <w:rPr>
          <w:rFonts w:ascii="仿宋" w:eastAsia="仿宋" w:cs="仿宋" w:hAnsi="仿宋"/>
          <w:color w:val="222222"/>
          <w:sz w:val="32"/>
          <w:szCs w:val="32"/>
        </w:rPr>
      </w:pPr>
      <w:r>
        <w:rPr>
          <w:rFonts w:ascii="仿宋" w:eastAsia="仿宋" w:cs="仿宋" w:hAnsi="仿宋" w:hint="eastAsia"/>
          <w:color w:val="222222"/>
          <w:sz w:val="32"/>
          <w:szCs w:val="32"/>
        </w:rPr>
        <w:t>1、本次联合抽查由</w:t>
      </w:r>
      <w:r>
        <w:rPr>
          <w:rFonts w:ascii="仿宋" w:eastAsia="仿宋" w:cs="仿宋" w:hAnsi="仿宋"/>
          <w:color w:val="222222"/>
          <w:sz w:val="32"/>
          <w:szCs w:val="32"/>
        </w:rPr>
        <w:t>县民宗局</w:t>
      </w:r>
      <w:r>
        <w:rPr>
          <w:rFonts w:ascii="仿宋" w:eastAsia="仿宋" w:cs="仿宋" w:hAnsi="仿宋" w:hint="eastAsia"/>
          <w:color w:val="222222"/>
          <w:sz w:val="32"/>
          <w:szCs w:val="32"/>
        </w:rPr>
        <w:t>牵头，纳入跨部门“双随机、一公开”联合抽查的县有关部门为：市场监管局。</w:t>
      </w:r>
    </w:p>
    <w:p>
      <w:pPr>
        <w:autoSpaceDN w:val="0"/>
        <w:spacing w:line="600" w:lineRule="exact"/>
        <w:ind w:firstLine="640"/>
        <w:rPr>
          <w:rFonts w:ascii="仿宋" w:eastAsia="仿宋" w:cs="仿宋" w:hAnsi="仿宋"/>
          <w:color w:val="222222"/>
          <w:sz w:val="32"/>
          <w:szCs w:val="32"/>
        </w:rPr>
      </w:pPr>
      <w:r>
        <w:rPr>
          <w:rFonts w:ascii="仿宋" w:eastAsia="仿宋" w:cs="仿宋" w:hAnsi="仿宋" w:hint="eastAsia"/>
          <w:color w:val="222222"/>
          <w:sz w:val="32"/>
          <w:szCs w:val="32"/>
        </w:rPr>
        <w:t>2、随机抽取的执法人员，无法独立完成专业抽查事项的，由执法检查人员所在部门选派专业人员协助指导完成工作。</w:t>
      </w:r>
    </w:p>
    <w:p>
      <w:pPr>
        <w:autoSpaceDN w:val="0"/>
        <w:spacing w:line="600" w:lineRule="exact"/>
        <w:ind w:firstLine="640"/>
        <w:rPr>
          <w:rFonts w:ascii="仿宋" w:eastAsia="仿宋" w:cs="仿宋" w:hAnsi="仿宋"/>
          <w:color w:val="222222"/>
          <w:sz w:val="32"/>
          <w:szCs w:val="32"/>
        </w:rPr>
      </w:pPr>
      <w:r>
        <w:rPr>
          <w:rFonts w:ascii="仿宋" w:eastAsia="仿宋" w:cs="仿宋" w:hAnsi="仿宋" w:hint="eastAsia"/>
          <w:color w:val="222222"/>
          <w:sz w:val="32"/>
          <w:szCs w:val="32"/>
        </w:rPr>
        <w:t>3、分派给各单位的检查对象本级没有执法权的，由上级部门授权检查，县局没有对应检查人员的由市级选派人员参加县检查组。</w:t>
      </w:r>
    </w:p>
    <w:p>
      <w:pPr>
        <w:autoSpaceDN w:val="0"/>
        <w:spacing w:line="600" w:lineRule="exact"/>
        <w:ind w:firstLine="640"/>
        <w:rPr>
          <w:rFonts w:ascii="仿宋" w:eastAsia="仿宋" w:cs="仿宋" w:hAnsi="仿宋"/>
          <w:color w:val="222222"/>
          <w:sz w:val="32"/>
          <w:szCs w:val="32"/>
        </w:rPr>
      </w:pPr>
      <w:r>
        <w:rPr>
          <w:rFonts w:ascii="仿宋" w:eastAsia="仿宋" w:cs="仿宋" w:hAnsi="仿宋" w:hint="eastAsia"/>
          <w:color w:val="222222"/>
          <w:sz w:val="32"/>
          <w:szCs w:val="32"/>
        </w:rPr>
        <w:t>（二）检查方式</w:t>
      </w:r>
    </w:p>
    <w:p>
      <w:pPr>
        <w:autoSpaceDN w:val="0"/>
        <w:spacing w:line="600" w:lineRule="exact"/>
        <w:ind w:firstLine="640"/>
        <w:rPr>
          <w:rFonts w:ascii="仿宋" w:eastAsia="仿宋" w:cs="仿宋" w:hAnsi="仿宋"/>
          <w:color w:val="222222"/>
          <w:sz w:val="32"/>
          <w:szCs w:val="32"/>
        </w:rPr>
      </w:pPr>
      <w:r>
        <w:rPr>
          <w:rFonts w:ascii="仿宋" w:eastAsia="仿宋" w:cs="仿宋" w:hAnsi="仿宋" w:hint="eastAsia"/>
          <w:color w:val="222222"/>
          <w:sz w:val="32"/>
          <w:szCs w:val="32"/>
        </w:rPr>
        <w:t>1、现场检查一般采取信息比对、实地核查等方法；</w:t>
      </w:r>
    </w:p>
    <w:p>
      <w:pPr>
        <w:autoSpaceDN w:val="0"/>
        <w:spacing w:line="600" w:lineRule="exact"/>
        <w:ind w:firstLine="640"/>
        <w:rPr>
          <w:rFonts w:ascii="仿宋" w:eastAsia="仿宋" w:cs="仿宋" w:hAnsi="仿宋"/>
          <w:color w:val="222222"/>
          <w:sz w:val="32"/>
          <w:szCs w:val="32"/>
        </w:rPr>
      </w:pPr>
      <w:r>
        <w:rPr>
          <w:rFonts w:ascii="仿宋" w:eastAsia="仿宋" w:cs="仿宋" w:hAnsi="仿宋" w:hint="eastAsia"/>
          <w:color w:val="222222"/>
          <w:sz w:val="32"/>
          <w:szCs w:val="32"/>
        </w:rPr>
        <w:t>2、通知检查对象，电话通知或下达检查通知书，告知被检查对象检查内容及需要检查对象配合的事宜。</w:t>
      </w:r>
    </w:p>
    <w:p>
      <w:pPr>
        <w:autoSpaceDN w:val="0"/>
        <w:spacing w:line="600" w:lineRule="exact"/>
        <w:ind w:firstLine="640"/>
        <w:rPr>
          <w:rFonts w:ascii="仿宋" w:eastAsia="仿宋" w:cs="仿宋" w:hAnsi="仿宋"/>
          <w:color w:val="222222"/>
          <w:sz w:val="32"/>
          <w:szCs w:val="32"/>
        </w:rPr>
      </w:pPr>
      <w:r>
        <w:rPr>
          <w:rFonts w:ascii="仿宋" w:eastAsia="仿宋" w:cs="仿宋" w:hAnsi="仿宋" w:hint="eastAsia"/>
          <w:color w:val="222222"/>
          <w:sz w:val="32"/>
          <w:szCs w:val="32"/>
        </w:rPr>
        <w:t>3、对企业进行实地核查时，应当出示相应证件，检查人员应当填写“一企一表”，并由被检查企业法定代表人签字或盖章确认；被检查对象拒绝签字的应当在“一企一表”上如实记录；以上操作可在“河北省双随机执法监管平台”手机APP上完成。</w:t>
      </w:r>
    </w:p>
    <w:p>
      <w:pPr>
        <w:autoSpaceDN w:val="0"/>
        <w:spacing w:line="600" w:lineRule="exact"/>
        <w:ind w:firstLine="640"/>
        <w:rPr>
          <w:rFonts w:ascii="仿宋" w:eastAsia="仿宋" w:cs="仿宋" w:hAnsi="仿宋"/>
          <w:color w:val="222222"/>
          <w:sz w:val="32"/>
          <w:szCs w:val="32"/>
        </w:rPr>
      </w:pPr>
      <w:r>
        <w:rPr>
          <w:rFonts w:ascii="仿宋" w:eastAsia="仿宋" w:cs="仿宋" w:hAnsi="仿宋" w:hint="eastAsia"/>
          <w:color w:val="222222"/>
          <w:sz w:val="32"/>
          <w:szCs w:val="32"/>
        </w:rPr>
        <w:t>（三）抽查结果公示</w:t>
      </w:r>
    </w:p>
    <w:p>
      <w:pPr>
        <w:autoSpaceDN w:val="0"/>
        <w:spacing w:line="600" w:lineRule="exact"/>
        <w:ind w:firstLine="640"/>
        <w:rPr>
          <w:rFonts w:ascii="仿宋" w:eastAsia="仿宋" w:cs="仿宋" w:hAnsi="仿宋"/>
          <w:color w:val="222222"/>
          <w:sz w:val="32"/>
          <w:szCs w:val="32"/>
        </w:rPr>
      </w:pPr>
      <w:r>
        <w:rPr>
          <w:rFonts w:ascii="仿宋" w:eastAsia="仿宋" w:cs="仿宋" w:hAnsi="仿宋" w:hint="eastAsia"/>
          <w:color w:val="222222"/>
          <w:sz w:val="32"/>
          <w:szCs w:val="32"/>
        </w:rPr>
        <w:t>执法检查人员要自完成“双随机、一公开”联合抽查工作结束之日起20个工作日内，在“河北省双随机执法监管平台”完成录入、审核，抽查结果由系统完成数据交换自动归集到市场主体名下，通过“河北省双随机执法监管平台”自动交换到“国家市场主体信用信息公示系统”（河北）向社会公示。</w:t>
      </w:r>
    </w:p>
    <w:p>
      <w:pPr>
        <w:pStyle w:val="16"/>
        <w:spacing w:line="600" w:lineRule="exact"/>
        <w:ind w:leftChars="0" w:left="0" w:firstLineChars="0" w:firstLine="640"/>
        <w:rPr>
          <w:rFonts w:ascii="仿宋" w:eastAsia="仿宋" w:cs="仿宋" w:hAnsi="仿宋"/>
          <w:w w:val="100"/>
          <w:sz w:val="32"/>
          <w:szCs w:val="32"/>
        </w:rPr>
      </w:pPr>
      <w:r>
        <w:rPr>
          <w:rFonts w:ascii="仿宋" w:eastAsia="仿宋" w:cs="仿宋" w:hAnsi="仿宋" w:hint="eastAsia"/>
          <w:w w:val="100"/>
          <w:sz w:val="32"/>
          <w:szCs w:val="32"/>
        </w:rPr>
        <w:t>（四）后续结果处置。</w:t>
      </w:r>
    </w:p>
    <w:p>
      <w:pPr>
        <w:pStyle w:val="16"/>
        <w:spacing w:line="600" w:lineRule="exact"/>
        <w:ind w:leftChars="0" w:left="0" w:firstLineChars="0" w:firstLine="640"/>
        <w:rPr>
          <w:rFonts w:ascii="仿宋" w:eastAsia="仿宋" w:cs="仿宋" w:hAnsi="仿宋"/>
          <w:w w:val="100"/>
          <w:sz w:val="32"/>
          <w:szCs w:val="32"/>
        </w:rPr>
      </w:pPr>
      <w:r>
        <w:rPr>
          <w:rFonts w:ascii="仿宋" w:eastAsia="仿宋" w:cs="仿宋" w:hAnsi="仿宋" w:hint="eastAsia"/>
          <w:w w:val="100"/>
          <w:sz w:val="32"/>
          <w:szCs w:val="32"/>
        </w:rPr>
        <w:t>各单位要根据职责和管辖权限，对检查中发现的违法线索，及时依法处理或移交有关部门，并在</w:t>
      </w:r>
      <w:r>
        <w:rPr>
          <w:rFonts w:ascii="仿宋" w:eastAsia="仿宋" w:cs="仿宋" w:hAnsi="仿宋" w:hint="eastAsia"/>
          <w:color w:val="222222"/>
          <w:w w:val="100"/>
          <w:sz w:val="32"/>
          <w:szCs w:val="32"/>
        </w:rPr>
        <w:t>20个工作日内</w:t>
      </w:r>
      <w:r>
        <w:rPr>
          <w:rFonts w:ascii="仿宋" w:eastAsia="仿宋" w:cs="仿宋" w:hAnsi="仿宋" w:hint="eastAsia"/>
          <w:w w:val="100"/>
          <w:sz w:val="32"/>
          <w:szCs w:val="32"/>
        </w:rPr>
        <w:t>将后续处置结果录入“</w:t>
      </w:r>
      <w:r>
        <w:rPr>
          <w:rFonts w:ascii="仿宋" w:eastAsia="仿宋" w:cs="仿宋" w:hAnsi="仿宋" w:hint="eastAsia"/>
          <w:color w:val="222222"/>
          <w:w w:val="100"/>
          <w:sz w:val="32"/>
          <w:szCs w:val="32"/>
        </w:rPr>
        <w:t>河北省双随机执法监管平台</w:t>
      </w:r>
      <w:r>
        <w:rPr>
          <w:rFonts w:ascii="仿宋" w:eastAsia="仿宋" w:cs="仿宋" w:hAnsi="仿宋" w:hint="eastAsia"/>
          <w:w w:val="100"/>
          <w:sz w:val="32"/>
          <w:szCs w:val="32"/>
        </w:rPr>
        <w:t>”中“后续处置”模块，确保后续监管到位，形成监管闭环。</w:t>
      </w:r>
    </w:p>
    <w:p>
      <w:pPr>
        <w:autoSpaceDN w:val="0"/>
        <w:spacing w:line="600" w:lineRule="exact"/>
        <w:ind w:firstLine="640"/>
        <w:rPr>
          <w:rFonts w:ascii="黑体" w:eastAsia="黑体" w:hAnsi="黑体"/>
          <w:color w:val="222222"/>
          <w:sz w:val="32"/>
        </w:rPr>
      </w:pPr>
      <w:r>
        <w:rPr>
          <w:rFonts w:ascii="黑体" w:eastAsia="黑体" w:hAnsi="黑体" w:hint="eastAsia"/>
          <w:color w:val="222222"/>
          <w:sz w:val="32"/>
        </w:rPr>
        <w:t>六、工作要求</w:t>
      </w:r>
    </w:p>
    <w:p>
      <w:pPr>
        <w:autoSpaceDN w:val="0"/>
        <w:spacing w:line="600" w:lineRule="exact"/>
        <w:ind w:firstLine="640"/>
        <w:rPr>
          <w:rFonts w:ascii="仿宋" w:eastAsia="仿宋" w:cs="仿宋" w:hAnsi="仿宋"/>
          <w:color w:val="222222"/>
          <w:sz w:val="32"/>
        </w:rPr>
      </w:pPr>
      <w:r>
        <w:rPr>
          <w:rFonts w:ascii="仿宋" w:eastAsia="仿宋" w:cs="仿宋" w:hAnsi="仿宋" w:hint="eastAsia"/>
          <w:color w:val="222222"/>
          <w:sz w:val="32"/>
        </w:rPr>
        <w:t>（一）明确工作职责，做好组织保障。县市场监管局要加强对“双随机、一公开”联合抽查工作的组织领导，做好牵头工作；各有关部门要加强对本系统抽查任务的业务指导。进一步建立健全政府主导、市场监管部门牵头、各有关部门协调联动、统筹推进的工作机制，强化组织保障、机制保障、经费保障，确保各项措施有序推进。</w:t>
      </w:r>
    </w:p>
    <w:p>
      <w:pPr>
        <w:autoSpaceDN w:val="0"/>
        <w:spacing w:line="600" w:lineRule="exact"/>
        <w:ind w:firstLine="640"/>
        <w:rPr>
          <w:rFonts w:ascii="仿宋" w:eastAsia="仿宋" w:cs="仿宋" w:hAnsi="仿宋"/>
          <w:color w:val="222222"/>
          <w:sz w:val="32"/>
        </w:rPr>
      </w:pPr>
      <w:r>
        <w:rPr>
          <w:rFonts w:ascii="仿宋" w:eastAsia="仿宋" w:cs="仿宋" w:hAnsi="仿宋" w:hint="eastAsia"/>
          <w:color w:val="222222"/>
          <w:sz w:val="32"/>
        </w:rPr>
        <w:t>（二）周密制定计划，认真抓好落实。各有关单位要按照县政府统一部署，积极筹划，精心组织，加强宣传，认真制定具体工作方案，严格按照《石家庄市人民政府关于在市场监管领域全面推行部门联合“双随机、一公开”监管的实施意见》要求，按时完成各项检查工作。</w:t>
      </w:r>
    </w:p>
    <w:p>
      <w:pPr>
        <w:autoSpaceDN w:val="0"/>
        <w:spacing w:line="600" w:lineRule="exact"/>
        <w:ind w:firstLine="640"/>
        <w:rPr>
          <w:rFonts w:ascii="仿宋" w:eastAsia="仿宋" w:cs="仿宋" w:hAnsi="仿宋"/>
          <w:color w:val="222222"/>
          <w:sz w:val="32"/>
        </w:rPr>
      </w:pPr>
      <w:r>
        <w:rPr>
          <w:rFonts w:ascii="仿宋" w:eastAsia="仿宋" w:cs="仿宋" w:hAnsi="仿宋" w:hint="eastAsia"/>
          <w:color w:val="222222"/>
          <w:sz w:val="32"/>
        </w:rPr>
        <w:t>（三）落实“应联尽联”，提高检查效率。牵头部门的执法检查人员负责组织协调管理，统一安排检查日程、检查方式，组织实施联合检查。其他检查人员应各司其职，配合、服从安排，分工协作完成检查任务，实现“进一次门、查多项事”，避免多头执法、重复检查，减轻企业负担。</w:t>
      </w:r>
    </w:p>
    <w:p>
      <w:pPr>
        <w:autoSpaceDN w:val="0"/>
        <w:spacing w:line="600" w:lineRule="exact"/>
        <w:ind w:firstLine="640"/>
        <w:rPr>
          <w:rFonts w:ascii="仿宋" w:eastAsia="仿宋" w:cs="仿宋" w:hAnsi="仿宋"/>
          <w:color w:val="222222"/>
          <w:sz w:val="32"/>
        </w:rPr>
      </w:pPr>
      <w:r>
        <w:rPr>
          <w:rFonts w:ascii="仿宋" w:eastAsia="仿宋" w:cs="仿宋" w:hAnsi="仿宋" w:hint="eastAsia"/>
          <w:color w:val="222222"/>
          <w:sz w:val="32"/>
        </w:rPr>
        <w:t>(四)寓监管于服务，减轻企业负担。在联合抽查工作中，各有关部门要注重服务与监管相结合，检查人员在监督检查工作中要严格遵守廉政纪律，依法行政，切实增强检查活动的集约性、简便性与有效性，避免增加企业负担。同时要增强服务意识，把上门检查与上门服务有机结合起来，主动接受企业咨询，为企业解疑答惑。</w:t>
      </w:r>
    </w:p>
    <w:p>
      <w:pPr>
        <w:autoSpaceDN w:val="0"/>
        <w:spacing w:line="600" w:lineRule="exact"/>
        <w:ind w:firstLineChars="200" w:firstLine="640"/>
        <w:rPr>
          <w:rFonts w:ascii="仿宋" w:eastAsia="仿宋" w:cs="仿宋" w:hAnsi="仿宋"/>
          <w:color w:val="222222"/>
          <w:sz w:val="32"/>
        </w:rPr>
      </w:pPr>
      <w:r>
        <w:rPr>
          <w:rFonts w:ascii="仿宋" w:eastAsia="仿宋" w:cs="仿宋" w:hAnsi="仿宋" w:hint="eastAsia"/>
          <w:color w:val="222222"/>
          <w:sz w:val="32"/>
        </w:rPr>
        <w:t>(五)按时公示结果，促进信用监管。联合抽查工作要做好检查结果的公示，严格按照《202</w:t>
      </w:r>
      <w:r>
        <w:rPr>
          <w:rFonts w:ascii="仿宋" w:eastAsia="仿宋" w:cs="仿宋" w:hAnsi="仿宋"/>
          <w:color w:val="222222"/>
          <w:sz w:val="32"/>
        </w:rPr>
        <w:t>5</w:t>
      </w:r>
      <w:r>
        <w:rPr>
          <w:rFonts w:ascii="仿宋" w:eastAsia="仿宋" w:cs="仿宋" w:hAnsi="仿宋" w:hint="eastAsia"/>
          <w:color w:val="222222"/>
          <w:sz w:val="32"/>
        </w:rPr>
        <w:t>年深泽县“双随机、一公开”监管工作实施</w:t>
      </w:r>
      <w:r>
        <w:rPr>
          <w:rFonts w:ascii="仿宋" w:eastAsia="仿宋" w:cs="仿宋" w:hAnsi="仿宋"/>
          <w:color w:val="222222"/>
          <w:sz w:val="32"/>
        </w:rPr>
        <w:t>方</w:t>
      </w:r>
      <w:r>
        <w:rPr>
          <w:rFonts w:ascii="仿宋" w:eastAsia="仿宋" w:cs="仿宋" w:hAnsi="仿宋" w:hint="eastAsia"/>
          <w:color w:val="222222"/>
          <w:sz w:val="32"/>
        </w:rPr>
        <w:t>案》的要求，及时录入并公示检查结果。同时，对抽查中发现的问题依法依规处置，及时回填后续处理结果，形成完整闭环</w:t>
      </w:r>
    </w:p>
    <w:p>
      <w:pPr>
        <w:spacing w:line="600" w:lineRule="exact"/>
        <w:ind w:firstLineChars="200" w:firstLine="640"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cs="仿宋" w:hAnsi="仿宋" w:hint="eastAsia"/>
          <w:color w:val="222222"/>
          <w:sz w:val="32"/>
        </w:rPr>
        <w:t xml:space="preserve">(六)认真总结经验，定期反馈情况。各有关部门要认真总结联合抽查中的经验做法及存在问题，及时上报县市场监管局。  </w:t>
      </w:r>
    </w:p>
    <w:sectPr>
      <w:headerReference w:type="default" r:id="rId2"/>
      <w:footerReference w:type="default" r:id="rId3"/>
      <w:footerReference w:type="even" r:id="rId4"/>
      <w:footerReference w:type="first" r:id="rId5"/>
      <w:pgSz w:w="11906" w:h="16838"/>
      <w:pgMar w:top="1644" w:right="1588" w:bottom="2098" w:left="1418" w:header="851" w:footer="992" w:gutter="0"/>
      <w:pgNumType w:fmt="numberInDash"/>
      <w:titlePg/>
      <w:docGrid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20"/>
      <w:tabs>
        <w:tab w:val="center" w:pos="4153"/>
        <w:tab w:val="right" w:pos="8306"/>
      </w:tabs>
      <w:ind w:right="360" w:firstLine="360"/>
    </w:pPr>
    <w:r>
      <mc:AlternateContent>
        <mc:Choice Requires="wps">
          <w:drawing>
            <wp:anchor distT="0" distB="0" distL="114298" distR="114298" simplePos="0" relativeHeight="15" behindDoc="0" locked="0" layoutInCell="1" hidden="0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444499" cy="230251"/>
              <wp:effectExtent l="0" t="0" r="0" b="0"/>
              <wp:wrapNone/>
              <wp:docPr id="1" name="文本框 1"/>
              <wp:cNvGraphicFramePr>
                <a:graphicFrameLocks noChangeAspect="0"/>
              </wp:cNvGraphicFramePr>
              <a:graphic>
                <a:graphicData uri="http://schemas.microsoft.com/office/word/2010/wordprocessingShape">
                  <wps:wsp>
                    <wps:cNvSpPr/>
                    <wps:spPr>
                      <a:xfrm rot="0">
                        <a:off x="0" y="0"/>
                        <a:ext cx="444499" cy="230251"/>
                      </a:xfrm>
                      <a:prstGeom prst="rect"/>
                      <a:noFill/>
                      <a:ln w="9525" cmpd="sng" cap="flat">
                        <a:noFill/>
                        <a:prstDash val="solid"/>
                        <a:miter/>
                      </a:ln>
                    </wps:spPr>
                    <wps:txbx id="2">
                      <w:txbxContent>
                        <w:p>
                          <w:pPr>
                            <w:pStyle w:val="20"/>
                            <w:tabs>
                              <w:tab w:val="center" w:pos="4153"/>
                              <w:tab w:val="right" w:pos="8306"/>
                            </w:tabs>
                            <w:rPr>
                              <w:rStyle w:val="24"/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24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24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Style w:val="24"/>
                              <w:rFonts w:ascii="宋体" w:hAnsi="宋体"/>
                              <w:sz w:val="28"/>
                              <w:szCs w:val="28"/>
                            </w:rPr>
                            <w:t>- 2 -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type="#_x0000_t1" id="文本框 1 3" o:spid="_x0000_s3" filled="f" stroked="f" style="position:absolute;margin-left:0.0pt;margin-top:0.0pt;width:34.999996pt;height:18.130003pt;z-index:15;mso-position-horizontal:center;mso-position-horizontal-relative:margin;mso-position-vertical:absolute;mso-wrap-distance-left:8.999863pt;mso-wrap-distance-right:8.999863pt;mso-wrap-style:none;">
              <v:stroke color="#000000"/>
              <v:textbox id="848" inset="0mm,0mm,0mm,0mm" o:insetmode="custom" style="layout-flow:horizontal;v-text-anchor:top;mso-fit-shape-to-text:t;">
                <w:txbxContent>
                  <w:p>
                    <w:pPr>
                      <w:pStyle w:val="20"/>
                      <w:tabs>
                        <w:tab w:val="center" w:pos="4153"/>
                        <w:tab w:val="right" w:pos="8306"/>
                      </w:tabs>
                      <w:rPr>
                        <w:rStyle w:val="24"/>
                        <w:rFonts w:ascii="宋体" w:hAnsi="宋体"/>
                        <w:sz w:val="28"/>
                        <w:szCs w:val="28"/>
                      </w:rPr>
                    </w:pPr>
                    <w:r>
                      <w:rPr>
                        <w:rStyle w:val="24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24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Style w:val="24"/>
                        <w:rFonts w:ascii="宋体" w:hAnsi="宋体"/>
                        <w:sz w:val="28"/>
                        <w:szCs w:val="28"/>
                      </w:rPr>
                      <w:t>- 2 -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20"/>
      <w:framePr w:w="0" w:hRule="auto" w:wrap="around" w:vAnchor="text" w:hAnchor="margin" w:xAlign="outside" w:y="1" w:anchorLock="0"/>
      <w:tabs>
        <w:tab w:val="center" w:pos="4153"/>
        <w:tab w:val="right" w:pos="8306"/>
      </w:tabs>
      <w:rPr>
        <w:rStyle w:val="24"/>
      </w:rPr>
    </w:pPr>
    <w:r>
      <w:rPr>
        <w:rStyle w:val="24"/>
      </w:rPr>
      <w:fldChar w:fldCharType="begin"/>
    </w:r>
    <w:r>
      <w:rPr>
        <w:rStyle w:val="24"/>
      </w:rPr>
      <w:instrText xml:space="preserve">PAGE  </w:instrText>
    </w:r>
    <w:r>
      <w:fldChar w:fldCharType="separate"/>
    </w:r>
    <w:r>
      <w:rPr>
        <w:rStyle w:val="24"/>
      </w:rPr>
      <w:t>3</w:t>
    </w:r>
    <w:r>
      <w:fldChar w:fldCharType="end"/>
    </w:r>
  </w:p>
  <w:p>
    <w:pPr>
      <w:pStyle w:val="20"/>
      <w:tabs>
        <w:tab w:val="center" w:pos="4153"/>
        <w:tab w:val="right" w:pos="8306"/>
      </w:tabs>
      <w:ind w:right="360" w:firstLine="360"/>
    </w:pPr>
  </w:p>
</w:ftr>
</file>

<file path=word/footer3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20"/>
      <w:tabs>
        <w:tab w:val="center" w:pos="4153"/>
        <w:tab w:val="right" w:pos="8306"/>
      </w:tabs>
    </w:pPr>
    <w:r>
      <mc:AlternateContent>
        <mc:Choice Requires="wps">
          <w:drawing>
            <wp:anchor distT="0" distB="0" distL="114298" distR="114298" simplePos="0" relativeHeight="13" behindDoc="0" locked="0" layoutInCell="1" hidden="0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79565" cy="139560"/>
              <wp:effectExtent l="0" t="0" r="0" b="0"/>
              <wp:wrapNone/>
              <wp:docPr id="4" name="文本框 2"/>
              <wp:cNvGraphicFramePr>
                <a:graphicFrameLocks noChangeAspect="0"/>
              </wp:cNvGraphicFramePr>
              <a:graphic>
                <a:graphicData uri="http://schemas.microsoft.com/office/word/2010/wordprocessingShape">
                  <wps:wsp>
                    <wps:cNvSpPr/>
                    <wps:spPr>
                      <a:xfrm rot="0">
                        <a:off x="0" y="0"/>
                        <a:ext cx="179565" cy="139560"/>
                      </a:xfrm>
                      <a:prstGeom prst="rect"/>
                      <a:noFill/>
                      <a:ln w="9525" cmpd="sng" cap="flat">
                        <a:noFill/>
                        <a:prstDash val="solid"/>
                        <a:miter/>
                      </a:ln>
                    </wps:spPr>
                    <wps:txbx id="5">
                      <w:txbxContent>
                        <w:p>
                          <w:pPr>
                            <w:pStyle w:val="20"/>
                            <w:tabs>
                              <w:tab w:val="center" w:pos="4153"/>
                              <w:tab w:val="right" w:pos="8306"/>
                            </w:tabs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type="#_x0000_t1" id="文本框 2 6" o:spid="_x0000_s6" filled="f" stroked="f" style="position:absolute;margin-left:0.0pt;margin-top:0.0pt;width:14.139006pt;height:10.988999pt;z-index:13;mso-position-horizontal:center;mso-position-horizontal-relative:margin;mso-position-vertical:absolute;mso-wrap-distance-left:8.999863pt;mso-wrap-distance-right:8.999863pt;mso-wrap-style:none;">
              <v:stroke color="#000000"/>
              <v:textbox id="849" inset="0mm,0mm,0mm,0mm" o:insetmode="custom" style="layout-flow:horizontal;v-text-anchor:top;mso-fit-shape-to-text:t;">
                <w:txbxContent>
                  <w:p>
                    <w:pPr>
                      <w:pStyle w:val="20"/>
                      <w:tabs>
                        <w:tab w:val="center" w:pos="4153"/>
                        <w:tab w:val="right" w:pos="8306"/>
                      </w:tabs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21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19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useAltKinsokuLineBreakRules/>
    <w:doNotSuppressIndentation/>
    <w:splitPgBreakAndParaMark/>
    <w:compatSetting w:name="compatibilityMode" w:uri="http://schemas.microsoft.com/office/word" w:val="12"/>
  </w:compat>
  <w:docVars>
    <w:docVar w:name="commondata" w:val="eyJoZGlkIjoiMGUwYzMzZDEwNzM5YzJmYWQ1MDQwMWZkNWI2MzFkMTgifQ=="/>
  </w:docVars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next w:val="16"/>
    <w:pPr>
      <w:widowControl w:val="0"/>
      <w:jc w:val="both"/>
    </w:pPr>
    <w:rPr>
      <w:rFonts w:ascii="Calibri" w:eastAsia="宋体" w:cs="黑体" w:hAnsi="Calibri"/>
      <w:kern w:val="2"/>
      <w:sz w:val="21"/>
      <w:szCs w:val="24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0"/>
    <w:next w:val="0"/>
    <w:pPr>
      <w:keepNext/>
      <w:keepLines/>
      <w:widowControl w:val="0"/>
      <w:spacing w:before="280" w:after="290" w:line="377" w:lineRule="auto"/>
      <w:outlineLvl w:val="3"/>
    </w:pPr>
    <w:rPr>
      <w:rFonts w:ascii="Cambria" w:cs="Times New Roman" w:hAnsi="Cambria"/>
      <w:b/>
      <w:bCs/>
      <w:sz w:val="28"/>
      <w:szCs w:val="28"/>
    </w:rPr>
  </w:style>
  <w:style w:type="character" w:default="1" w:styleId="10">
    <w:name w:val="Default Paragraph Font"/>
  </w:style>
  <w:style w:type="paragraph" w:customStyle="1" w:styleId="15">
    <w:name w:val="正文文本缩进1"/>
    <w:basedOn w:val="0"/>
    <w:pPr>
      <w:spacing w:after="120"/>
      <w:ind w:leftChars="200" w:left="200"/>
    </w:pPr>
  </w:style>
  <w:style w:type="paragraph" w:customStyle="1" w:styleId="16">
    <w:name w:val="正文首行缩进 21"/>
    <w:basedOn w:val="15"/>
    <w:next w:val="18"/>
    <w:pPr>
      <w:ind w:firstLineChars="200" w:firstLine="200"/>
    </w:pPr>
    <w:rPr>
      <w:w w:val="88"/>
      <w:szCs w:val="21"/>
    </w:rPr>
  </w:style>
  <w:style w:type="paragraph" w:styleId="17">
    <w:name w:val="Body Text"/>
    <w:basedOn w:val="0"/>
    <w:next w:val="19"/>
  </w:style>
  <w:style w:type="paragraph" w:customStyle="1" w:styleId="18">
    <w:name w:val="正文首行缩进1"/>
    <w:basedOn w:val="17"/>
    <w:next w:val="0"/>
    <w:pPr>
      <w:spacing w:line="500" w:lineRule="exact"/>
      <w:ind w:firstLine="420"/>
    </w:pPr>
    <w:rPr>
      <w:sz w:val="28"/>
    </w:rPr>
  </w:style>
  <w:style w:type="paragraph" w:styleId="19">
    <w:name w:val="Title"/>
    <w:basedOn w:val="0"/>
    <w:next w:val="0"/>
    <w:pPr>
      <w:spacing w:before="3"/>
      <w:ind w:left="65" w:right="164"/>
      <w:jc w:val="center"/>
    </w:pPr>
    <w:rPr>
      <w:rFonts w:ascii="宋体" w:cs="宋体" w:hAnsi="宋体"/>
      <w:sz w:val="100"/>
      <w:szCs w:val="100"/>
    </w:rPr>
  </w:style>
  <w:style w:type="paragraph" w:styleId="20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21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22">
    <w:name w:val="Hyperlink"/>
    <w:basedOn w:val="10"/>
    <w:rPr>
      <w:color w:val="0000FF"/>
      <w:u w:val="single"/>
    </w:rPr>
  </w:style>
  <w:style w:type="paragraph" w:customStyle="1" w:styleId="23">
    <w:name w:val="正文缩进1"/>
    <w:basedOn w:val="0"/>
    <w:next w:val="16"/>
    <w:pPr>
      <w:ind w:firstLine="420"/>
    </w:pPr>
  </w:style>
  <w:style w:type="character" w:customStyle="1" w:styleId="24">
    <w:name w:val="页码1"/>
    <w:basedOn w:val="10"/>
  </w:style>
  <w:style w:type="character" w:customStyle="1" w:styleId="25">
    <w:name w:val="readonlyspan1"/>
    <w:basedOn w:val="10"/>
    <w:rPr>
      <w:rFonts w:ascii="宋体" w:eastAsia="宋体" w:cs="宋体" w:hAnsi="宋体"/>
    </w:rPr>
  </w:style>
  <w:style w:type="character" w:customStyle="1" w:styleId="26">
    <w:name w:val="font11"/>
    <w:basedOn w:val="10"/>
    <w:rPr>
      <w:rFonts w:ascii="仿宋_GB2312" w:eastAsia="仿宋_GB2312" w:cs="仿宋_GB2312"/>
      <w:color w:val="000000"/>
      <w:sz w:val="18"/>
      <w:szCs w:val="18"/>
      <w:u w:val="none"/>
    </w:rPr>
  </w:style>
  <w:style w:type="character" w:customStyle="1" w:styleId="27">
    <w:name w:val="font51"/>
    <w:basedOn w:val="10"/>
    <w:rPr>
      <w:rFonts w:ascii="仿宋_GB2312" w:eastAsia="仿宋_GB2312" w:cs="仿宋_GB2312"/>
      <w:b/>
      <w:bCs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oter" Target="footer2.xml"/><Relationship Id="rId5" Type="http://schemas.openxmlformats.org/officeDocument/2006/relationships/footer" Target="footer3.xml"/><Relationship Id="rId6" Type="http://schemas.openxmlformats.org/officeDocument/2006/relationships/styles" Target="styles.xml"/><Relationship Id="rId7" Type="http://schemas.openxmlformats.org/officeDocument/2006/relationships/fontTable" Target="fontTable.xml"/><Relationship Id="rId8" Type="http://schemas.openxmlformats.org/officeDocument/2006/relationships/customXml" Target="../customXml/item1.xml"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700934C1-34A2-4E1A-BFBC-63E92288EB68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40</TotalTime>
  <Application>Yozo_Office27021597764231179</Application>
  <Pages>5</Pages>
  <Words>0</Words>
  <Characters>1484</Characters>
  <Lines>0</Lines>
  <Paragraphs>34</Paragraphs>
  <CharactersWithSpaces>1979</CharactersWithSpace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title>邵慧慧</dc:title>
  <dc:creator>赵璞</dc:creator>
  <cp:lastModifiedBy>Administrator</cp:lastModifiedBy>
  <cp:revision>46</cp:revision>
  <cp:lastPrinted>2024-10-09T01:55:00Z</cp:lastPrinted>
  <dcterms:created xsi:type="dcterms:W3CDTF">2021-05-14T13:44:00Z</dcterms:created>
  <dcterms:modified xsi:type="dcterms:W3CDTF">2025-09-26T03:31:11Z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2052-11.1.0.9021</vt:lpwstr>
  </property>
  <property fmtid="{D5CDD505-2E9C-101B-9397-08002B2CF9AE}" pid="3" name="ICV">
    <vt:lpwstr>21B88F925E4A478EA171748AA083480D</vt:lpwstr>
  </property>
</Properties>
</file>