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398118">
      <w:pPr>
        <w:jc w:val="center"/>
        <w:rPr>
          <w:rFonts w:ascii="宋体" w:cs="Times New Roman"/>
          <w:b/>
          <w:sz w:val="44"/>
          <w:szCs w:val="44"/>
        </w:rPr>
      </w:pPr>
      <w:r>
        <w:rPr>
          <w:rFonts w:hint="eastAsia" w:ascii="宋体" w:hAnsi="宋体" w:cs="Times New Roman"/>
          <w:b/>
          <w:sz w:val="44"/>
          <w:szCs w:val="44"/>
        </w:rPr>
        <w:t>深泽县司法局</w:t>
      </w:r>
      <w:r>
        <w:rPr>
          <w:rFonts w:ascii="宋体" w:hAnsi="宋体" w:cs="Times New Roman"/>
          <w:b/>
          <w:sz w:val="44"/>
          <w:szCs w:val="44"/>
        </w:rPr>
        <w:t>201</w:t>
      </w:r>
      <w:r>
        <w:rPr>
          <w:rFonts w:hint="eastAsia" w:ascii="宋体" w:hAnsi="宋体" w:cs="Times New Roman"/>
          <w:b/>
          <w:sz w:val="44"/>
          <w:szCs w:val="44"/>
          <w:lang w:val="en-US" w:eastAsia="zh-CN"/>
        </w:rPr>
        <w:t>9</w:t>
      </w:r>
      <w:r>
        <w:rPr>
          <w:rFonts w:hint="eastAsia" w:ascii="宋体" w:hAnsi="宋体" w:cs="Times New Roman"/>
          <w:b/>
          <w:sz w:val="44"/>
          <w:szCs w:val="44"/>
        </w:rPr>
        <w:t>年部门预算信息公开</w:t>
      </w:r>
    </w:p>
    <w:p w14:paraId="161A78EF">
      <w:pPr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按照《预算法》、《地方预决算公开操作规程》和《县级预算公开办法》规定，现将</w:t>
      </w:r>
      <w:r>
        <w:rPr>
          <w:rFonts w:ascii="仿宋" w:hAnsi="仿宋" w:eastAsia="仿宋" w:cs="Times New Roman"/>
          <w:sz w:val="32"/>
          <w:szCs w:val="32"/>
        </w:rPr>
        <w:t>201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Times New Roman"/>
          <w:sz w:val="32"/>
          <w:szCs w:val="32"/>
        </w:rPr>
        <w:t>年部门预算公开如下：</w:t>
      </w:r>
    </w:p>
    <w:p w14:paraId="138C5BC1">
      <w:pPr>
        <w:ind w:firstLine="64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一、部门职责及机构设置情况</w:t>
      </w:r>
    </w:p>
    <w:p w14:paraId="1909798D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Times New Roman"/>
          <w:sz w:val="32"/>
          <w:szCs w:val="32"/>
        </w:rPr>
        <w:t xml:space="preserve">    </w:t>
      </w:r>
      <w:r>
        <w:rPr>
          <w:rFonts w:hint="eastAsia" w:ascii="仿宋" w:hAnsi="仿宋" w:eastAsia="仿宋" w:cs="Times New Roman"/>
          <w:sz w:val="32"/>
          <w:szCs w:val="32"/>
        </w:rPr>
        <w:t>部门职责：制定辖区法制宣传教育和普及法律常识规划并组织实施</w:t>
      </w:r>
      <w:r>
        <w:rPr>
          <w:rFonts w:ascii="仿宋" w:hAnsi="仿宋" w:eastAsia="仿宋" w:cs="Times New Roman"/>
          <w:sz w:val="32"/>
          <w:szCs w:val="32"/>
        </w:rPr>
        <w:t>;</w:t>
      </w:r>
      <w:r>
        <w:rPr>
          <w:rFonts w:hint="eastAsia" w:ascii="仿宋" w:hAnsi="仿宋" w:eastAsia="仿宋" w:cs="Times New Roman"/>
          <w:sz w:val="32"/>
          <w:szCs w:val="32"/>
        </w:rPr>
        <w:t>管理和指导辖区的律师、法律援助工作</w:t>
      </w:r>
      <w:r>
        <w:rPr>
          <w:rFonts w:ascii="仿宋" w:hAnsi="仿宋" w:eastAsia="仿宋" w:cs="Times New Roman"/>
          <w:sz w:val="32"/>
          <w:szCs w:val="32"/>
        </w:rPr>
        <w:t>;</w:t>
      </w:r>
      <w:r>
        <w:rPr>
          <w:rFonts w:hint="eastAsia" w:ascii="仿宋" w:hAnsi="仿宋" w:eastAsia="仿宋" w:cs="Times New Roman"/>
          <w:sz w:val="32"/>
          <w:szCs w:val="32"/>
        </w:rPr>
        <w:t>管理和指导辖区公证机构及公证业务活动</w:t>
      </w:r>
      <w:r>
        <w:rPr>
          <w:rFonts w:ascii="仿宋" w:hAnsi="仿宋" w:eastAsia="仿宋" w:cs="Times New Roman"/>
          <w:sz w:val="32"/>
          <w:szCs w:val="32"/>
        </w:rPr>
        <w:t>;</w:t>
      </w:r>
      <w:r>
        <w:rPr>
          <w:rFonts w:hint="eastAsia" w:ascii="仿宋" w:hAnsi="仿宋" w:eastAsia="仿宋" w:cs="Times New Roman"/>
          <w:sz w:val="32"/>
          <w:szCs w:val="32"/>
        </w:rPr>
        <w:t>依据法律规定，管理辖区面向社会服务的司法鉴定工作</w:t>
      </w:r>
      <w:r>
        <w:rPr>
          <w:rFonts w:ascii="仿宋" w:hAnsi="仿宋" w:eastAsia="仿宋" w:cs="Times New Roman"/>
          <w:sz w:val="32"/>
          <w:szCs w:val="32"/>
        </w:rPr>
        <w:t>;</w:t>
      </w:r>
      <w:r>
        <w:rPr>
          <w:rFonts w:hint="eastAsia" w:ascii="仿宋" w:hAnsi="仿宋" w:eastAsia="仿宋" w:cs="Times New Roman"/>
          <w:sz w:val="32"/>
          <w:szCs w:val="32"/>
        </w:rPr>
        <w:t>管理指导辖区基层法律服务，人民调解和刑满释放人员的安置帮教工作，指导乡镇司法所工作</w:t>
      </w:r>
      <w:r>
        <w:rPr>
          <w:rFonts w:ascii="仿宋" w:hAnsi="仿宋" w:eastAsia="仿宋" w:cs="Times New Roman"/>
          <w:sz w:val="32"/>
          <w:szCs w:val="32"/>
        </w:rPr>
        <w:t>;</w:t>
      </w:r>
      <w:r>
        <w:rPr>
          <w:rFonts w:hint="eastAsia" w:ascii="仿宋" w:hAnsi="仿宋" w:eastAsia="仿宋" w:cs="Times New Roman"/>
          <w:sz w:val="32"/>
          <w:szCs w:val="32"/>
        </w:rPr>
        <w:t>做好社区服刑人员的教育监管工作</w:t>
      </w:r>
      <w:r>
        <w:rPr>
          <w:rFonts w:ascii="仿宋" w:hAnsi="仿宋" w:eastAsia="仿宋" w:cs="Times New Roman"/>
          <w:sz w:val="32"/>
          <w:szCs w:val="32"/>
        </w:rPr>
        <w:t>;</w:t>
      </w:r>
      <w:r>
        <w:rPr>
          <w:rFonts w:hint="eastAsia" w:ascii="仿宋" w:hAnsi="仿宋" w:eastAsia="仿宋" w:cs="Times New Roman"/>
          <w:sz w:val="32"/>
          <w:szCs w:val="32"/>
        </w:rPr>
        <w:t>指导辖区司法行政系统的队伍建设和思想政治工作，负责局机关和司法所的组织、人事、党务工作和投资装备等工作</w:t>
      </w:r>
      <w:r>
        <w:rPr>
          <w:rFonts w:ascii="仿宋" w:hAnsi="仿宋" w:eastAsia="仿宋" w:cs="Times New Roman"/>
          <w:sz w:val="32"/>
          <w:szCs w:val="32"/>
        </w:rPr>
        <w:t>;</w:t>
      </w:r>
      <w:r>
        <w:rPr>
          <w:rFonts w:hint="eastAsia" w:ascii="仿宋" w:hAnsi="仿宋" w:eastAsia="仿宋" w:cs="Times New Roman"/>
          <w:sz w:val="32"/>
          <w:szCs w:val="32"/>
        </w:rPr>
        <w:t>参与辖区社会治安综合治理工作</w:t>
      </w:r>
      <w:r>
        <w:rPr>
          <w:rFonts w:ascii="仿宋" w:hAnsi="仿宋" w:eastAsia="仿宋" w:cs="Times New Roman"/>
          <w:sz w:val="32"/>
          <w:szCs w:val="32"/>
        </w:rPr>
        <w:t>;</w:t>
      </w:r>
      <w:r>
        <w:rPr>
          <w:rFonts w:hint="eastAsia" w:ascii="仿宋" w:hAnsi="仿宋" w:eastAsia="仿宋" w:cs="Times New Roman"/>
          <w:sz w:val="32"/>
          <w:szCs w:val="32"/>
        </w:rPr>
        <w:t>承办县委、县政府交办的其他工作</w:t>
      </w:r>
      <w:r>
        <w:rPr>
          <w:rFonts w:ascii="仿宋" w:hAnsi="仿宋" w:eastAsia="仿宋" w:cs="Times New Roman"/>
          <w:sz w:val="32"/>
          <w:szCs w:val="32"/>
        </w:rPr>
        <w:t>.</w:t>
      </w:r>
    </w:p>
    <w:p w14:paraId="57F3785A">
      <w:pPr>
        <w:ind w:firstLine="643" w:firstLineChars="200"/>
        <w:rPr>
          <w:rFonts w:ascii="Times New Roman" w:hAnsi="Times New Roman" w:eastAsia="方正仿宋_GBK" w:cs="Times New Roman"/>
          <w:b/>
          <w:sz w:val="32"/>
          <w:szCs w:val="32"/>
        </w:rPr>
      </w:pPr>
    </w:p>
    <w:p w14:paraId="0E2E3CE4">
      <w:pPr>
        <w:autoSpaceDE w:val="0"/>
        <w:autoSpaceDN w:val="0"/>
        <w:adjustRightInd w:val="0"/>
        <w:ind w:firstLine="643" w:firstLineChars="200"/>
        <w:jc w:val="left"/>
        <w:rPr>
          <w:rFonts w:ascii="方正仿宋_GBK" w:hAnsi="Times New Roman" w:eastAsia="方正仿宋_GBK" w:cs="Times New Roman"/>
          <w:b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b/>
          <w:sz w:val="32"/>
          <w:szCs w:val="32"/>
        </w:rPr>
        <w:t>机构设置：</w:t>
      </w:r>
    </w:p>
    <w:p w14:paraId="6B89AE70">
      <w:pPr>
        <w:jc w:val="center"/>
        <w:outlineLvl w:val="0"/>
        <w:rPr>
          <w:rFonts w:ascii="Times New Roman" w:hAnsi="Times New Roman" w:eastAsia="方正小标宋_GBK" w:cs="Times New Roman"/>
          <w:sz w:val="32"/>
          <w:szCs w:val="24"/>
        </w:rPr>
      </w:pPr>
    </w:p>
    <w:p w14:paraId="29A78216">
      <w:pPr>
        <w:jc w:val="center"/>
        <w:outlineLvl w:val="0"/>
        <w:rPr>
          <w:rFonts w:ascii="Times New Roman" w:hAnsi="Times New Roman" w:eastAsia="方正小标宋_GBK" w:cs="Times New Roman"/>
          <w:sz w:val="32"/>
          <w:szCs w:val="24"/>
        </w:rPr>
      </w:pPr>
      <w:r>
        <w:rPr>
          <w:rFonts w:hint="eastAsia" w:ascii="Times New Roman" w:hAnsi="Times New Roman" w:eastAsia="方正小标宋_GBK" w:cs="Times New Roman"/>
          <w:sz w:val="32"/>
          <w:szCs w:val="24"/>
        </w:rPr>
        <w:t>部门机构设置情况</w:t>
      </w:r>
    </w:p>
    <w:tbl>
      <w:tblPr>
        <w:tblStyle w:val="7"/>
        <w:tblW w:w="972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1134"/>
        <w:gridCol w:w="1276"/>
        <w:gridCol w:w="2902"/>
      </w:tblGrid>
      <w:tr w14:paraId="02D4E7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restart"/>
            <w:vAlign w:val="center"/>
          </w:tcPr>
          <w:p w14:paraId="0EB26008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hint="eastAsia" w:ascii="Times New Roman" w:hAnsi="Times New Roman" w:eastAsia="方正书宋_GBK" w:cs="Times New Roman"/>
                <w:b/>
                <w:szCs w:val="24"/>
              </w:rP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14:paraId="607A6764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hint="eastAsia" w:ascii="Times New Roman" w:hAnsi="Times New Roman" w:eastAsia="方正书宋_GBK" w:cs="Times New Roman"/>
                <w:b/>
                <w:szCs w:val="24"/>
              </w:rPr>
              <w:t>单位性质</w:t>
            </w:r>
          </w:p>
        </w:tc>
        <w:tc>
          <w:tcPr>
            <w:tcW w:w="1276" w:type="dxa"/>
            <w:vMerge w:val="restart"/>
            <w:vAlign w:val="center"/>
          </w:tcPr>
          <w:p w14:paraId="734BEDD2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hint="eastAsia" w:ascii="Times New Roman" w:hAnsi="Times New Roman" w:eastAsia="方正书宋_GBK" w:cs="Times New Roman"/>
                <w:b/>
                <w:szCs w:val="24"/>
              </w:rPr>
              <w:t>单位规格</w:t>
            </w:r>
          </w:p>
        </w:tc>
        <w:tc>
          <w:tcPr>
            <w:tcW w:w="2902" w:type="dxa"/>
            <w:vMerge w:val="restart"/>
            <w:vAlign w:val="center"/>
          </w:tcPr>
          <w:p w14:paraId="7804EE07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hint="eastAsia" w:ascii="Times New Roman" w:hAnsi="Times New Roman" w:eastAsia="方正书宋_GBK" w:cs="Times New Roman"/>
                <w:b/>
                <w:szCs w:val="24"/>
              </w:rPr>
              <w:t>经费保障形式</w:t>
            </w:r>
          </w:p>
        </w:tc>
      </w:tr>
      <w:tr w14:paraId="7F3599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continue"/>
            <w:vAlign w:val="center"/>
          </w:tcPr>
          <w:p w14:paraId="5BC2CE12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4D316290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276" w:type="dxa"/>
            <w:vMerge w:val="continue"/>
            <w:vAlign w:val="center"/>
          </w:tcPr>
          <w:p w14:paraId="2EA87957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902" w:type="dxa"/>
            <w:vMerge w:val="continue"/>
            <w:vAlign w:val="center"/>
          </w:tcPr>
          <w:p w14:paraId="7C7DEC80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0625E8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224E433A"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深泽县司法局</w:t>
            </w:r>
          </w:p>
        </w:tc>
        <w:tc>
          <w:tcPr>
            <w:tcW w:w="1134" w:type="dxa"/>
            <w:vAlign w:val="center"/>
          </w:tcPr>
          <w:p w14:paraId="3EE450F1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行政</w:t>
            </w:r>
          </w:p>
        </w:tc>
        <w:tc>
          <w:tcPr>
            <w:tcW w:w="1276" w:type="dxa"/>
            <w:vAlign w:val="center"/>
          </w:tcPr>
          <w:p w14:paraId="53DA5029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902" w:type="dxa"/>
            <w:vAlign w:val="center"/>
          </w:tcPr>
          <w:p w14:paraId="2911A2D0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财政拨款</w:t>
            </w:r>
          </w:p>
        </w:tc>
      </w:tr>
    </w:tbl>
    <w:p w14:paraId="33269E12"/>
    <w:p w14:paraId="3EA9E1C8">
      <w:pPr>
        <w:ind w:firstLine="64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二、部门预算安排的总体情况</w:t>
      </w:r>
    </w:p>
    <w:p w14:paraId="65035F4A">
      <w:pPr>
        <w:ind w:firstLine="64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按照预算管理有关规定，目前局预算的编制实行综合预算制度，即全部收入和支出都反映的预算中。</w:t>
      </w:r>
    </w:p>
    <w:p w14:paraId="600080D9"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、收入说明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</w:p>
    <w:p w14:paraId="6BB0A547"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201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_GB2312"/>
          <w:sz w:val="32"/>
          <w:szCs w:val="32"/>
        </w:rPr>
        <w:t>年预算收入</w:t>
      </w:r>
      <w:r>
        <w:rPr>
          <w:rFonts w:hint="eastAsia" w:ascii="仿宋" w:hAnsi="仿宋" w:eastAsia="仿宋" w:cs="仿宋_GB2312"/>
          <w:bCs/>
          <w:sz w:val="32"/>
          <w:szCs w:val="32"/>
          <w:lang w:val="en-US" w:eastAsia="zh-CN"/>
        </w:rPr>
        <w:t>445.45</w:t>
      </w:r>
      <w:r>
        <w:rPr>
          <w:rFonts w:hint="eastAsia" w:ascii="仿宋" w:hAnsi="仿宋" w:eastAsia="仿宋" w:cs="仿宋_GB2312"/>
          <w:sz w:val="32"/>
          <w:szCs w:val="32"/>
        </w:rPr>
        <w:t>万元，其中：一般公共预算补助支出</w:t>
      </w:r>
      <w:r>
        <w:rPr>
          <w:rFonts w:hint="eastAsia" w:ascii="仿宋" w:hAnsi="仿宋" w:eastAsia="仿宋" w:cs="仿宋_GB2312"/>
          <w:bCs/>
          <w:sz w:val="32"/>
          <w:szCs w:val="32"/>
          <w:lang w:val="en-US" w:eastAsia="zh-CN"/>
        </w:rPr>
        <w:t>445.45</w:t>
      </w:r>
      <w:r>
        <w:rPr>
          <w:rFonts w:hint="eastAsia" w:ascii="仿宋" w:hAnsi="仿宋" w:eastAsia="仿宋" w:cs="仿宋_GB2312"/>
          <w:sz w:val="32"/>
          <w:szCs w:val="32"/>
        </w:rPr>
        <w:t>万元。</w:t>
      </w:r>
      <w:r>
        <w:rPr>
          <w:rFonts w:hint="eastAsia" w:ascii="仿宋" w:hAnsi="仿宋" w:eastAsia="仿宋" w:cs="仿宋_GB2312"/>
          <w:bCs/>
          <w:sz w:val="32"/>
          <w:szCs w:val="32"/>
        </w:rPr>
        <w:t>政府性基金收入</w:t>
      </w:r>
      <w:r>
        <w:rPr>
          <w:rFonts w:ascii="仿宋" w:hAnsi="仿宋" w:eastAsia="仿宋" w:cs="仿宋_GB2312"/>
          <w:bCs/>
          <w:sz w:val="32"/>
          <w:szCs w:val="32"/>
        </w:rPr>
        <w:t>0</w:t>
      </w:r>
      <w:r>
        <w:rPr>
          <w:rFonts w:hint="eastAsia" w:ascii="仿宋" w:hAnsi="仿宋" w:eastAsia="仿宋" w:cs="仿宋_GB2312"/>
          <w:bCs/>
          <w:sz w:val="32"/>
          <w:szCs w:val="32"/>
        </w:rPr>
        <w:t>万元、国有资本经营预算收入</w:t>
      </w:r>
      <w:r>
        <w:rPr>
          <w:rFonts w:ascii="仿宋" w:hAnsi="仿宋" w:eastAsia="仿宋" w:cs="仿宋_GB2312"/>
          <w:bCs/>
          <w:sz w:val="32"/>
          <w:szCs w:val="32"/>
        </w:rPr>
        <w:t>0</w:t>
      </w:r>
      <w:r>
        <w:rPr>
          <w:rFonts w:hint="eastAsia" w:ascii="仿宋" w:hAnsi="仿宋" w:eastAsia="仿宋" w:cs="仿宋_GB2312"/>
          <w:bCs/>
          <w:sz w:val="32"/>
          <w:szCs w:val="32"/>
        </w:rPr>
        <w:t>万元、财政专户核拨收入</w:t>
      </w:r>
      <w:r>
        <w:rPr>
          <w:rFonts w:ascii="仿宋" w:hAnsi="仿宋" w:eastAsia="仿宋" w:cs="仿宋_GB2312"/>
          <w:bCs/>
          <w:sz w:val="32"/>
          <w:szCs w:val="32"/>
        </w:rPr>
        <w:t>0</w:t>
      </w:r>
      <w:r>
        <w:rPr>
          <w:rFonts w:hint="eastAsia" w:ascii="仿宋" w:hAnsi="仿宋" w:eastAsia="仿宋" w:cs="仿宋_GB2312"/>
          <w:bCs/>
          <w:sz w:val="32"/>
          <w:szCs w:val="32"/>
        </w:rPr>
        <w:t>万元，其他来源收入</w:t>
      </w:r>
      <w:r>
        <w:rPr>
          <w:rFonts w:ascii="仿宋" w:hAnsi="仿宋" w:eastAsia="仿宋" w:cs="仿宋_GB2312"/>
          <w:bCs/>
          <w:sz w:val="32"/>
          <w:szCs w:val="32"/>
        </w:rPr>
        <w:t>0</w:t>
      </w:r>
      <w:r>
        <w:rPr>
          <w:rFonts w:hint="eastAsia" w:ascii="仿宋" w:hAnsi="仿宋" w:eastAsia="仿宋" w:cs="仿宋_GB2312"/>
          <w:bCs/>
          <w:sz w:val="32"/>
          <w:szCs w:val="32"/>
        </w:rPr>
        <w:t>万元。</w:t>
      </w:r>
    </w:p>
    <w:p w14:paraId="1974F99B">
      <w:pPr>
        <w:numPr>
          <w:ilvl w:val="0"/>
          <w:numId w:val="1"/>
        </w:numPr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支出说明</w:t>
      </w:r>
    </w:p>
    <w:p w14:paraId="26524E9D">
      <w:pPr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Times New Roman"/>
          <w:sz w:val="32"/>
          <w:szCs w:val="32"/>
        </w:rPr>
        <w:t xml:space="preserve">     </w:t>
      </w:r>
      <w:r>
        <w:rPr>
          <w:rFonts w:hint="eastAsia" w:ascii="仿宋" w:hAnsi="仿宋" w:eastAsia="仿宋" w:cs="Times New Roman"/>
          <w:sz w:val="32"/>
          <w:szCs w:val="32"/>
        </w:rPr>
        <w:t>收支预算总表支出栏、基本支出表、项目支出表按经济分类和支出功能分类科目编制，反映司法局年度部门预算中支出预算的总体情况。</w:t>
      </w:r>
      <w:r>
        <w:rPr>
          <w:rFonts w:ascii="仿宋" w:hAnsi="仿宋" w:eastAsia="仿宋" w:cs="Times New Roman"/>
          <w:sz w:val="32"/>
          <w:szCs w:val="32"/>
        </w:rPr>
        <w:t>201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Times New Roman"/>
          <w:sz w:val="32"/>
          <w:szCs w:val="32"/>
        </w:rPr>
        <w:t>年部门支出预算为</w:t>
      </w:r>
      <w:r>
        <w:rPr>
          <w:rFonts w:hint="eastAsia" w:ascii="仿宋" w:hAnsi="仿宋" w:eastAsia="仿宋" w:cs="仿宋_GB2312"/>
          <w:bCs/>
          <w:sz w:val="32"/>
          <w:szCs w:val="32"/>
          <w:lang w:val="en-US" w:eastAsia="zh-CN"/>
        </w:rPr>
        <w:t>445.45</w:t>
      </w:r>
      <w:r>
        <w:rPr>
          <w:rFonts w:hint="eastAsia" w:ascii="仿宋" w:hAnsi="仿宋" w:eastAsia="仿宋" w:cs="Times New Roman"/>
          <w:sz w:val="32"/>
          <w:szCs w:val="32"/>
        </w:rPr>
        <w:t>万元，其中基本支出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334.81</w:t>
      </w:r>
      <w:r>
        <w:rPr>
          <w:rFonts w:hint="eastAsia" w:ascii="仿宋" w:hAnsi="仿宋" w:eastAsia="仿宋" w:cs="Times New Roman"/>
          <w:sz w:val="32"/>
          <w:szCs w:val="32"/>
        </w:rPr>
        <w:t>万元，包括人员经费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325.38</w:t>
      </w:r>
      <w:r>
        <w:rPr>
          <w:rFonts w:hint="eastAsia" w:ascii="仿宋" w:hAnsi="仿宋" w:eastAsia="仿宋" w:cs="Times New Roman"/>
          <w:sz w:val="32"/>
          <w:szCs w:val="32"/>
        </w:rPr>
        <w:t>万元和日常公用经费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19.43</w:t>
      </w:r>
      <w:r>
        <w:rPr>
          <w:rFonts w:hint="eastAsia" w:ascii="仿宋" w:hAnsi="仿宋" w:eastAsia="仿宋" w:cs="Times New Roman"/>
          <w:sz w:val="32"/>
          <w:szCs w:val="32"/>
        </w:rPr>
        <w:t>万元；项目支出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100.64</w:t>
      </w:r>
      <w:r>
        <w:rPr>
          <w:rFonts w:hint="eastAsia" w:ascii="仿宋" w:hAnsi="仿宋" w:eastAsia="仿宋" w:cs="Times New Roman"/>
          <w:sz w:val="32"/>
          <w:szCs w:val="32"/>
        </w:rPr>
        <w:t>万元，全部为本级支出。</w:t>
      </w:r>
    </w:p>
    <w:p w14:paraId="796703D9">
      <w:pPr>
        <w:numPr>
          <w:ilvl w:val="0"/>
          <w:numId w:val="1"/>
        </w:numPr>
        <w:ind w:firstLine="64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比上年增减情况</w:t>
      </w:r>
    </w:p>
    <w:p w14:paraId="59A84561">
      <w:pPr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Times New Roman"/>
          <w:sz w:val="32"/>
          <w:szCs w:val="32"/>
        </w:rPr>
        <w:t xml:space="preserve">    201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Times New Roman"/>
          <w:sz w:val="32"/>
          <w:szCs w:val="32"/>
        </w:rPr>
        <w:t>年部门预算较</w:t>
      </w:r>
      <w:r>
        <w:rPr>
          <w:rFonts w:ascii="仿宋" w:hAnsi="仿宋" w:eastAsia="仿宋" w:cs="Times New Roman"/>
          <w:sz w:val="32"/>
          <w:szCs w:val="32"/>
        </w:rPr>
        <w:t>201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Times New Roman"/>
          <w:sz w:val="32"/>
          <w:szCs w:val="32"/>
        </w:rPr>
        <w:t>年增长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1.55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万元，主要是增加人员经费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696FFF9D">
      <w:pPr>
        <w:numPr>
          <w:ilvl w:val="0"/>
          <w:numId w:val="2"/>
        </w:numPr>
        <w:autoSpaceDE w:val="0"/>
        <w:autoSpaceDN w:val="0"/>
        <w:adjustRightInd w:val="0"/>
        <w:ind w:firstLine="640" w:firstLineChars="2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机关运行经费安排情况</w:t>
      </w:r>
    </w:p>
    <w:p w14:paraId="296607E2">
      <w:pPr>
        <w:autoSpaceDE w:val="0"/>
        <w:autoSpaceDN w:val="0"/>
        <w:adjustRightInd w:val="0"/>
        <w:jc w:val="left"/>
        <w:rPr>
          <w:rFonts w:ascii="仿宋" w:hAnsi="仿宋" w:eastAsia="仿宋" w:cs="Times New Roman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" w:hAnsi="仿宋" w:eastAsia="仿宋" w:cs="Times New Roman"/>
          <w:sz w:val="32"/>
          <w:szCs w:val="32"/>
        </w:rPr>
        <w:t>机关运行经费共计安排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19.43</w:t>
      </w:r>
      <w:r>
        <w:rPr>
          <w:rFonts w:hint="eastAsia" w:ascii="仿宋" w:hAnsi="仿宋" w:eastAsia="仿宋" w:cs="Times New Roman"/>
          <w:sz w:val="32"/>
          <w:szCs w:val="32"/>
        </w:rPr>
        <w:t>万元，主要用于保证机关正常运转的办公及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社会保障缴费、</w:t>
      </w:r>
      <w:r>
        <w:rPr>
          <w:rFonts w:hint="eastAsia" w:ascii="仿宋" w:hAnsi="仿宋" w:eastAsia="仿宋" w:cs="Times New Roman"/>
          <w:sz w:val="32"/>
          <w:szCs w:val="32"/>
        </w:rPr>
        <w:t>离退休干部经费、工会经费、福利费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、党组织活动经费</w:t>
      </w:r>
      <w:r>
        <w:rPr>
          <w:rFonts w:hint="eastAsia" w:ascii="仿宋" w:hAnsi="仿宋" w:eastAsia="仿宋" w:cs="Times New Roman"/>
          <w:sz w:val="32"/>
          <w:szCs w:val="32"/>
        </w:rPr>
        <w:t>等支出。</w:t>
      </w:r>
    </w:p>
    <w:p w14:paraId="24FDB2FA">
      <w:pPr>
        <w:autoSpaceDE w:val="0"/>
        <w:autoSpaceDN w:val="0"/>
        <w:adjustRightInd w:val="0"/>
        <w:ind w:firstLine="640" w:firstLineChars="2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四、财政拨款“三公”经费预算情况及增减变化原因</w:t>
      </w:r>
    </w:p>
    <w:p w14:paraId="6DDFEFA0">
      <w:pPr>
        <w:widowControl/>
        <w:spacing w:line="480" w:lineRule="auto"/>
        <w:ind w:firstLine="600"/>
        <w:jc w:val="left"/>
        <w:rPr>
          <w:rFonts w:ascii="仿宋_GB2312" w:eastAsia="仿宋_GB2312" w:cs="仿宋_GB2312"/>
          <w:bCs/>
          <w:sz w:val="32"/>
          <w:szCs w:val="32"/>
          <w:highlight w:val="yellow"/>
        </w:rPr>
      </w:pPr>
      <w:r>
        <w:rPr>
          <w:rFonts w:ascii="仿宋" w:hAnsi="仿宋" w:eastAsia="仿宋"/>
          <w:sz w:val="32"/>
          <w:szCs w:val="32"/>
        </w:rPr>
        <w:t>201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年“三公”经费支出</w:t>
      </w:r>
      <w:r>
        <w:rPr>
          <w:rFonts w:ascii="仿宋" w:hAnsi="仿宋" w:eastAsia="仿宋"/>
          <w:sz w:val="32"/>
          <w:szCs w:val="32"/>
        </w:rPr>
        <w:t>3.86</w:t>
      </w:r>
      <w:r>
        <w:rPr>
          <w:rFonts w:hint="eastAsia" w:ascii="仿宋" w:hAnsi="仿宋" w:eastAsia="仿宋"/>
          <w:sz w:val="32"/>
          <w:szCs w:val="32"/>
        </w:rPr>
        <w:t>万元，与上年持平。其中：因公出国（境）费</w:t>
      </w:r>
      <w:r>
        <w:rPr>
          <w:rFonts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/>
          <w:sz w:val="32"/>
          <w:szCs w:val="32"/>
        </w:rPr>
        <w:t>万元，与上年持平；公务接待费</w:t>
      </w:r>
      <w:r>
        <w:rPr>
          <w:rFonts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/>
          <w:sz w:val="32"/>
          <w:szCs w:val="32"/>
        </w:rPr>
        <w:t>万元，与上年持平；公务用车购置及运行维护费</w:t>
      </w:r>
      <w:r>
        <w:rPr>
          <w:rFonts w:ascii="仿宋" w:hAnsi="仿宋" w:eastAsia="仿宋"/>
          <w:sz w:val="32"/>
          <w:szCs w:val="32"/>
        </w:rPr>
        <w:t>3.86</w:t>
      </w:r>
      <w:r>
        <w:rPr>
          <w:rFonts w:hint="eastAsia" w:ascii="仿宋" w:hAnsi="仿宋" w:eastAsia="仿宋"/>
          <w:sz w:val="32"/>
          <w:szCs w:val="32"/>
        </w:rPr>
        <w:t>万元，与上年持平（其中：公务用车运行维护费</w:t>
      </w:r>
      <w:r>
        <w:rPr>
          <w:rFonts w:ascii="仿宋" w:hAnsi="仿宋" w:eastAsia="仿宋"/>
          <w:sz w:val="32"/>
          <w:szCs w:val="32"/>
        </w:rPr>
        <w:t>3.86</w:t>
      </w:r>
      <w:r>
        <w:rPr>
          <w:rFonts w:hint="eastAsia" w:ascii="仿宋" w:hAnsi="仿宋" w:eastAsia="仿宋"/>
          <w:sz w:val="32"/>
          <w:szCs w:val="32"/>
        </w:rPr>
        <w:t>万元，公务用车购置费</w:t>
      </w:r>
      <w:r>
        <w:rPr>
          <w:rFonts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/>
          <w:sz w:val="32"/>
          <w:szCs w:val="32"/>
        </w:rPr>
        <w:t>万元。）</w:t>
      </w:r>
      <w:r>
        <w:rPr>
          <w:rFonts w:ascii="仿宋" w:hAnsi="仿宋" w:eastAsia="仿宋"/>
          <w:sz w:val="32"/>
          <w:szCs w:val="32"/>
        </w:rPr>
        <w:t>;</w:t>
      </w:r>
      <w:r>
        <w:rPr>
          <w:rFonts w:hint="eastAsia" w:ascii="仿宋" w:hAnsi="仿宋" w:eastAsia="仿宋"/>
          <w:sz w:val="32"/>
          <w:szCs w:val="32"/>
        </w:rPr>
        <w:t>公务接待费</w:t>
      </w:r>
      <w:r>
        <w:rPr>
          <w:rFonts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/>
          <w:sz w:val="32"/>
          <w:szCs w:val="32"/>
        </w:rPr>
        <w:t>万元，与上年持平。</w:t>
      </w:r>
    </w:p>
    <w:p w14:paraId="1759173E">
      <w:pPr>
        <w:autoSpaceDE w:val="0"/>
        <w:autoSpaceDN w:val="0"/>
        <w:adjustRightInd w:val="0"/>
        <w:ind w:firstLine="640" w:firstLineChars="2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五、绩效预算信息</w:t>
      </w:r>
    </w:p>
    <w:p w14:paraId="30E9C2D3">
      <w:pPr>
        <w:ind w:firstLine="643" w:firstLineChars="200"/>
        <w:jc w:val="left"/>
        <w:rPr>
          <w:rFonts w:ascii="Times New Roman" w:hAnsi="Times New Roman" w:eastAsia="方正仿宋_GBK" w:cs="Times New Roman"/>
          <w:b/>
          <w:sz w:val="32"/>
          <w:szCs w:val="32"/>
        </w:rPr>
      </w:pPr>
      <w:bookmarkStart w:id="0" w:name="_Toc471398463"/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t>总体绩效目标：</w:t>
      </w:r>
    </w:p>
    <w:p w14:paraId="227B2D77">
      <w:pPr>
        <w:widowControl/>
        <w:spacing w:line="480" w:lineRule="auto"/>
        <w:ind w:firstLine="6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1、提高全县人民法律意识和法律素质，增强法治化管理水平，促进全县民主与法制建设。</w:t>
      </w:r>
    </w:p>
    <w:p w14:paraId="2905F1DA">
      <w:pPr>
        <w:widowControl/>
        <w:spacing w:line="480" w:lineRule="auto"/>
        <w:ind w:firstLine="6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2、充分发挥法律服务职能，规范律师、公证行业管理。</w:t>
      </w:r>
    </w:p>
    <w:p w14:paraId="5AD9CFB8">
      <w:pPr>
        <w:widowControl/>
        <w:spacing w:line="480" w:lineRule="auto"/>
        <w:ind w:firstLine="6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3、深化人民调解、社区矫正和安置帮教工作，最大限度降低重新违法犯罪和社会不稳定因素发生率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2A39414D">
      <w:pPr>
        <w:widowControl/>
        <w:spacing w:line="480" w:lineRule="auto"/>
        <w:ind w:firstLine="6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4、扩大法律援助覆盖面，推动全县法律援助工作长足发展。</w:t>
      </w:r>
    </w:p>
    <w:p w14:paraId="46C56256">
      <w:pPr>
        <w:widowControl/>
        <w:spacing w:line="480" w:lineRule="auto"/>
        <w:ind w:firstLine="6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5、规范司法鉴定机构和司法鉴定人的管理，提高司法鉴定人员素质，促进司法鉴定的公正、公平。</w:t>
      </w:r>
    </w:p>
    <w:p w14:paraId="4A1E2F97">
      <w:pPr>
        <w:ind w:firstLine="562"/>
        <w:jc w:val="left"/>
        <w:rPr>
          <w:rFonts w:hint="eastAsia"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>职责分类绩效目标：</w:t>
      </w:r>
    </w:p>
    <w:p w14:paraId="40CDAD94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司法行政管理</w:t>
      </w:r>
      <w:r>
        <w:rPr>
          <w:rFonts w:hint="eastAsia" w:ascii="仿宋" w:hAnsi="仿宋" w:eastAsia="仿宋"/>
          <w:sz w:val="32"/>
          <w:szCs w:val="32"/>
          <w:lang w:eastAsia="zh-CN"/>
        </w:rPr>
        <w:t>绩效目标</w:t>
      </w:r>
      <w:r>
        <w:rPr>
          <w:rFonts w:ascii="仿宋" w:hAnsi="仿宋" w:eastAsia="仿宋"/>
          <w:sz w:val="32"/>
          <w:szCs w:val="32"/>
        </w:rPr>
        <w:t>：</w:t>
      </w:r>
    </w:p>
    <w:p w14:paraId="64276AB0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1、提高全县人民法律意识和法律素质，增强法治化管理水平，促进全县民主与法制建设。</w:t>
      </w:r>
    </w:p>
    <w:p w14:paraId="5990383C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2、充分发挥法律服务职能，规范律师、公证行业管理。</w:t>
      </w:r>
    </w:p>
    <w:p w14:paraId="0161063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3、深化人民调解、社区矫正和安置帮教工作，最大限度降低重新违法犯罪和社会不稳定因素发生率</w:t>
      </w:r>
    </w:p>
    <w:p w14:paraId="7B374C9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4、扩大法律援助覆盖面，推动全县法律援助工作长足发展。</w:t>
      </w:r>
    </w:p>
    <w:p w14:paraId="168BE2CC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5、规范司法鉴定机构和司法鉴定人的管理，提高司法鉴定人员素质，促进司法鉴定的公正、公平。</w:t>
      </w:r>
    </w:p>
    <w:p w14:paraId="15F6AC07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司法政务管理</w:t>
      </w:r>
      <w:r>
        <w:rPr>
          <w:rFonts w:hint="eastAsia" w:ascii="仿宋" w:hAnsi="仿宋" w:eastAsia="仿宋"/>
          <w:sz w:val="32"/>
          <w:szCs w:val="32"/>
          <w:lang w:eastAsia="zh-CN"/>
        </w:rPr>
        <w:t>绩效目标：</w:t>
      </w:r>
    </w:p>
    <w:p w14:paraId="4583778E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ascii="仿宋" w:hAnsi="仿宋" w:eastAsia="仿宋"/>
          <w:sz w:val="32"/>
          <w:szCs w:val="32"/>
        </w:rPr>
        <w:t>1、</w:t>
      </w:r>
      <w:r>
        <w:rPr>
          <w:rFonts w:hint="eastAsia" w:ascii="仿宋" w:hAnsi="仿宋" w:eastAsia="仿宋"/>
          <w:sz w:val="32"/>
          <w:szCs w:val="32"/>
          <w:lang w:eastAsia="zh-CN"/>
        </w:rPr>
        <w:t>指导计划财务工作。</w:t>
      </w:r>
    </w:p>
    <w:p w14:paraId="1C18DF01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2、加强纪检审计监督、信息化建设等，促进司法行政系统各项事业健康发展。</w:t>
      </w:r>
    </w:p>
    <w:p w14:paraId="4E21A825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ascii="仿宋" w:hAnsi="仿宋" w:eastAsia="仿宋"/>
          <w:sz w:val="32"/>
          <w:szCs w:val="32"/>
        </w:rPr>
        <w:t>3、加强机关后勤保障，确保正常办公</w:t>
      </w:r>
      <w:r>
        <w:rPr>
          <w:rFonts w:hint="eastAsia" w:ascii="仿宋" w:hAnsi="仿宋" w:eastAsia="仿宋"/>
          <w:sz w:val="32"/>
          <w:szCs w:val="32"/>
          <w:lang w:eastAsia="zh-CN"/>
        </w:rPr>
        <w:t>环</w:t>
      </w:r>
      <w:r>
        <w:rPr>
          <w:rFonts w:ascii="仿宋" w:hAnsi="仿宋" w:eastAsia="仿宋"/>
          <w:sz w:val="32"/>
          <w:szCs w:val="32"/>
        </w:rPr>
        <w:t>境需要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2A73E529">
      <w:pPr>
        <w:ind w:firstLine="562"/>
        <w:jc w:val="left"/>
        <w:rPr>
          <w:rFonts w:hint="eastAsia" w:ascii="方正楷体_GBK" w:eastAsia="方正楷体_GBK"/>
          <w:b/>
          <w:sz w:val="28"/>
          <w:lang w:eastAsia="zh-CN"/>
        </w:rPr>
      </w:pPr>
      <w:r>
        <w:rPr>
          <w:rFonts w:hint="eastAsia" w:ascii="方正楷体_GBK" w:eastAsia="方正楷体_GBK"/>
          <w:b/>
          <w:sz w:val="28"/>
          <w:lang w:eastAsia="zh-CN"/>
        </w:rPr>
        <w:t>实现年度发展规划目标的保障措施：</w:t>
      </w:r>
    </w:p>
    <w:p w14:paraId="779F9EB1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一、</w:t>
      </w:r>
      <w:r>
        <w:rPr>
          <w:rFonts w:hint="eastAsia" w:ascii="仿宋" w:hAnsi="仿宋" w:eastAsia="仿宋"/>
          <w:sz w:val="32"/>
          <w:szCs w:val="32"/>
        </w:rPr>
        <w:t>继续做好</w:t>
      </w:r>
      <w:r>
        <w:rPr>
          <w:rFonts w:ascii="仿宋" w:hAnsi="仿宋" w:eastAsia="仿宋"/>
          <w:sz w:val="32"/>
          <w:szCs w:val="32"/>
        </w:rPr>
        <w:t>“两个</w:t>
      </w:r>
      <w:r>
        <w:rPr>
          <w:rFonts w:hint="eastAsia" w:ascii="仿宋" w:hAnsi="仿宋" w:eastAsia="仿宋"/>
          <w:sz w:val="32"/>
          <w:szCs w:val="32"/>
        </w:rPr>
        <w:t>顾问</w:t>
      </w:r>
      <w:r>
        <w:rPr>
          <w:rFonts w:ascii="仿宋" w:hAnsi="仿宋" w:eastAsia="仿宋"/>
          <w:sz w:val="32"/>
          <w:szCs w:val="32"/>
        </w:rPr>
        <w:t>”推广宣</w:t>
      </w:r>
      <w:r>
        <w:rPr>
          <w:rFonts w:hint="eastAsia" w:ascii="仿宋" w:hAnsi="仿宋" w:eastAsia="仿宋"/>
          <w:sz w:val="32"/>
          <w:szCs w:val="32"/>
        </w:rPr>
        <w:t>传工作，让</w:t>
      </w:r>
      <w:r>
        <w:rPr>
          <w:rFonts w:ascii="仿宋" w:hAnsi="仿宋" w:eastAsia="仿宋"/>
          <w:sz w:val="32"/>
          <w:szCs w:val="32"/>
        </w:rPr>
        <w:t>“两个</w:t>
      </w:r>
      <w:r>
        <w:rPr>
          <w:rFonts w:hint="eastAsia" w:ascii="仿宋" w:hAnsi="仿宋" w:eastAsia="仿宋"/>
          <w:sz w:val="32"/>
          <w:szCs w:val="32"/>
        </w:rPr>
        <w:t>顾问</w:t>
      </w:r>
      <w:r>
        <w:rPr>
          <w:rFonts w:ascii="仿宋" w:hAnsi="仿宋" w:eastAsia="仿宋"/>
          <w:sz w:val="32"/>
          <w:szCs w:val="32"/>
        </w:rPr>
        <w:t>”真正家</w:t>
      </w:r>
      <w:r>
        <w:rPr>
          <w:rFonts w:hint="eastAsia" w:ascii="仿宋" w:hAnsi="仿宋" w:eastAsia="仿宋"/>
          <w:sz w:val="32"/>
          <w:szCs w:val="32"/>
        </w:rPr>
        <w:t>喻户晓，惠及大众，全力打造惠民法律服务品牌。</w:t>
      </w:r>
    </w:p>
    <w:p w14:paraId="171A3F6D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二、</w:t>
      </w:r>
      <w:r>
        <w:rPr>
          <w:rFonts w:hint="eastAsia" w:ascii="仿宋" w:hAnsi="仿宋" w:eastAsia="仿宋"/>
          <w:sz w:val="32"/>
          <w:szCs w:val="32"/>
        </w:rPr>
        <w:t>进一步健全律师参与涉法涉诉信访值班、登记和重大事项报告制度，合理引导当事人理性解决问题。加大律师执业活动监督力度，进一步规范律师执业行为。</w:t>
      </w:r>
    </w:p>
    <w:p w14:paraId="2DBCF713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三、</w:t>
      </w:r>
      <w:r>
        <w:rPr>
          <w:rFonts w:hint="eastAsia" w:ascii="仿宋" w:hAnsi="仿宋" w:eastAsia="仿宋"/>
          <w:sz w:val="32"/>
          <w:szCs w:val="32"/>
        </w:rPr>
        <w:t>进一步加大法律援助宣传力度，开展法援案件质量评估，确保为受援人提供优质高效的法律服务，打造</w:t>
      </w:r>
      <w:r>
        <w:rPr>
          <w:rFonts w:ascii="仿宋" w:hAnsi="仿宋" w:eastAsia="仿宋"/>
          <w:sz w:val="32"/>
          <w:szCs w:val="32"/>
        </w:rPr>
        <w:t>“温暖法援”品牌。</w:t>
      </w:r>
    </w:p>
    <w:p w14:paraId="5E3F3356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四、公</w:t>
      </w:r>
      <w:r>
        <w:rPr>
          <w:rFonts w:hint="eastAsia" w:ascii="仿宋" w:hAnsi="仿宋" w:eastAsia="仿宋"/>
          <w:sz w:val="32"/>
          <w:szCs w:val="32"/>
        </w:rPr>
        <w:t>证工作重点围绕为县域金融、经济服务上下功夫，探索服务渠道，开拓证源。</w:t>
      </w:r>
    </w:p>
    <w:p w14:paraId="7861C6B6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五、加大</w:t>
      </w:r>
      <w:r>
        <w:rPr>
          <w:rFonts w:hint="eastAsia" w:ascii="仿宋" w:hAnsi="仿宋" w:eastAsia="仿宋"/>
          <w:sz w:val="32"/>
          <w:szCs w:val="32"/>
        </w:rPr>
        <w:t>对司法医学鉴定监管力度，杜绝假鉴、错鉴、人情鉴，鉴定采信率力</w:t>
      </w:r>
      <w:r>
        <w:rPr>
          <w:rFonts w:ascii="仿宋" w:hAnsi="仿宋" w:eastAsia="仿宋"/>
          <w:sz w:val="32"/>
          <w:szCs w:val="32"/>
        </w:rPr>
        <w:t xml:space="preserve">争达到100%。 </w:t>
      </w:r>
    </w:p>
    <w:p w14:paraId="4B119051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561"/>
        <w:rPr>
          <w:rFonts w:hint="eastAsia" w:ascii="方正仿宋_GBK" w:eastAsia="方正仿宋_GBK"/>
          <w:sz w:val="28"/>
          <w:lang w:eastAsia="zh-CN"/>
        </w:rPr>
      </w:pPr>
    </w:p>
    <w:p w14:paraId="423C00D2">
      <w:pPr>
        <w:ind w:firstLine="643" w:firstLineChars="200"/>
        <w:jc w:val="left"/>
        <w:outlineLvl w:val="0"/>
        <w:rPr>
          <w:rFonts w:ascii="黑体" w:hAnsi="黑体" w:eastAsia="黑体"/>
          <w:b/>
          <w:sz w:val="32"/>
          <w:szCs w:val="24"/>
        </w:rPr>
      </w:pPr>
      <w:r>
        <w:rPr>
          <w:rFonts w:hint="eastAsia" w:ascii="黑体" w:hAnsi="黑体" w:eastAsia="黑体"/>
          <w:b/>
          <w:sz w:val="32"/>
          <w:szCs w:val="32"/>
        </w:rPr>
        <w:t>部门职责及工作活动绩效目标指标：</w:t>
      </w:r>
    </w:p>
    <w:p w14:paraId="1F44E226">
      <w:pPr>
        <w:jc w:val="both"/>
        <w:outlineLvl w:val="0"/>
        <w:rPr>
          <w:rFonts w:ascii="方正小标宋_GBK" w:hAnsi="Times New Roman" w:eastAsia="方正小标宋_GBK" w:cs="Times New Roman"/>
          <w:sz w:val="32"/>
          <w:szCs w:val="24"/>
        </w:rPr>
      </w:pPr>
    </w:p>
    <w:bookmarkEnd w:id="0"/>
    <w:p w14:paraId="28C50894">
      <w:pPr>
        <w:jc w:val="center"/>
        <w:outlineLvl w:val="0"/>
        <w:rPr>
          <w:rFonts w:ascii="方正小标宋_GBK" w:eastAsia="方正小标宋_GBK"/>
          <w:color w:val="FFFFFF"/>
          <w:sz w:val="32"/>
        </w:rPr>
      </w:pPr>
      <w:bookmarkStart w:id="1" w:name="_Toc1816008"/>
      <w:r>
        <w:rPr>
          <w:rFonts w:hint="eastAsia" w:ascii="方正小标宋_GBK" w:eastAsia="方正小标宋_GBK"/>
          <w:sz w:val="32"/>
        </w:rPr>
        <w:t>部门职责-工作活动绩效目标</w:t>
      </w:r>
      <w:r>
        <w:rPr>
          <w:rStyle w:val="10"/>
          <w:rFonts w:ascii="方正小标宋_GBK" w:eastAsia="方正小标宋_GBK"/>
          <w:color w:val="FFFFFF"/>
          <w:sz w:val="32"/>
        </w:rPr>
        <w:footnoteReference w:id="0" w:customMarkFollows="1"/>
        <w:sym w:font="Symbol" w:char="F020"/>
      </w:r>
      <w:bookmarkEnd w:id="1"/>
    </w:p>
    <w:tbl>
      <w:tblPr>
        <w:tblStyle w:val="7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1"/>
        <w:gridCol w:w="1276"/>
        <w:gridCol w:w="2976"/>
        <w:gridCol w:w="2976"/>
        <w:gridCol w:w="1417"/>
        <w:gridCol w:w="737"/>
        <w:gridCol w:w="737"/>
        <w:gridCol w:w="737"/>
        <w:gridCol w:w="737"/>
      </w:tblGrid>
      <w:tr w14:paraId="5EC651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986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 w14:paraId="5A262323"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315</w:t>
            </w:r>
            <w:r>
              <w:rPr>
                <w:rFonts w:hint="eastAsia" w:ascii="方正小标宋_GBK" w:eastAsia="方正小标宋_GBK"/>
                <w:sz w:val="24"/>
              </w:rPr>
              <w:t>深泽县司法局</w:t>
            </w:r>
          </w:p>
        </w:tc>
        <w:tc>
          <w:tcPr>
            <w:tcW w:w="2948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 w14:paraId="5A967EE7"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 w14:paraId="75C1AC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 w14:paraId="48E2677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职责活动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37C0A64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年度预算数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7205A2C6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内容描述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3D79780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 w14:paraId="5B481E4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</w:t>
            </w:r>
          </w:p>
        </w:tc>
        <w:tc>
          <w:tcPr>
            <w:tcW w:w="2948" w:type="dxa"/>
            <w:gridSpan w:val="4"/>
            <w:shd w:val="clear" w:color="auto" w:fill="auto"/>
            <w:vAlign w:val="center"/>
          </w:tcPr>
          <w:p w14:paraId="73D3759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评价标准</w:t>
            </w:r>
          </w:p>
        </w:tc>
      </w:tr>
      <w:tr w14:paraId="74E1DC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6F1B68FD"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5E78580C"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1E336CAC"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67B333C8">
            <w:pPr>
              <w:spacing w:line="300" w:lineRule="exact"/>
              <w:jc w:val="left"/>
              <w:outlineLvl w:val="0"/>
            </w:pPr>
          </w:p>
        </w:tc>
        <w:tc>
          <w:tcPr>
            <w:tcW w:w="1417" w:type="dxa"/>
            <w:vMerge w:val="continue"/>
            <w:shd w:val="clear" w:color="auto" w:fill="auto"/>
            <w:vAlign w:val="center"/>
          </w:tcPr>
          <w:p w14:paraId="72A9C5A7">
            <w:pPr>
              <w:spacing w:line="300" w:lineRule="exact"/>
              <w:jc w:val="left"/>
              <w:outlineLvl w:val="0"/>
            </w:pPr>
          </w:p>
        </w:tc>
        <w:tc>
          <w:tcPr>
            <w:tcW w:w="737" w:type="dxa"/>
            <w:shd w:val="clear" w:color="auto" w:fill="auto"/>
            <w:vAlign w:val="center"/>
          </w:tcPr>
          <w:p w14:paraId="68E53E0B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7A4EDD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良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E02F04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中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51E6E56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差</w:t>
            </w:r>
          </w:p>
        </w:tc>
      </w:tr>
      <w:tr w14:paraId="2627B3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 w14:paraId="0DB8F2FA"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一、司法行政管理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D204FE6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100.64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4628F68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贯彻落实国家司法行政工作方针政策；拟订有关规章，制定全县司法行政中长期规划并组织实施。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5CBB26A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提升全县司法行政管理水平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91B523A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 w14:paraId="62A9FC62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 w14:paraId="00D09973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 w14:paraId="7AF1D6B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 w14:paraId="1609E03E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 w14:paraId="26B69B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 w14:paraId="1384168D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1</w:t>
            </w:r>
            <w:r>
              <w:rPr>
                <w:rFonts w:hint="eastAsia" w:ascii="方正书宋_GBK" w:eastAsia="方正书宋_GBK"/>
                <w:b/>
              </w:rPr>
              <w:t>、普法宣传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591C71F3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27.50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6EB5DD8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拟订全县法制宣传教育规划并组织实施；开展全</w:t>
            </w:r>
            <w:bookmarkStart w:id="3" w:name="_GoBack"/>
            <w:bookmarkEnd w:id="3"/>
            <w:r>
              <w:rPr>
                <w:rFonts w:hint="eastAsia" w:ascii="方正书宋_GBK" w:eastAsia="方正书宋_GBK"/>
              </w:rPr>
              <w:t>县法制宣传、依法治理工作；开展法制宣传报道；组织全县司法宣传和新闻发布；承担县法制教育领导小组办公室工作。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60C1178D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提高全县人民法律意识和法律素质，增强法治化管理水平，促进全县民主与法制建设。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E3E6B92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普法考核通过率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39AA176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400DF2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85%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13CC9E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EF02EA7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&lt;80%</w:t>
            </w:r>
          </w:p>
        </w:tc>
      </w:tr>
      <w:tr w14:paraId="3D9F84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2A8A9A0B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56D266B2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6B444B7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3A119F9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26F53449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网络舆情处置率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171D04D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663066C6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4D35B007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85%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6C370F8A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&lt;85%</w:t>
            </w:r>
          </w:p>
        </w:tc>
      </w:tr>
      <w:tr w14:paraId="2F2A59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5A199DEF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438674BF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7B585F9C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32E8B450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59A8E9E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组织主题宣传活动场次</w:t>
            </w:r>
            <w:r>
              <w:rPr>
                <w:rFonts w:ascii="方正书宋_GBK" w:eastAsia="方正书宋_GBK"/>
              </w:rPr>
              <w:t>(</w:t>
            </w:r>
            <w:r>
              <w:rPr>
                <w:rFonts w:hint="eastAsia" w:ascii="方正书宋_GBK" w:eastAsia="方正书宋_GBK"/>
              </w:rPr>
              <w:t>次）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4007E10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C6EE2F2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2AC1280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AED42C4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</w:t>
            </w:r>
          </w:p>
        </w:tc>
      </w:tr>
      <w:tr w14:paraId="1C6F48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01DF7D85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78878BCC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5009F29E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381B06BB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17225187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普法考核覆盖人数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3A5756E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1126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7124C34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1000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E6F4314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3E04CD5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700</w:t>
            </w:r>
          </w:p>
        </w:tc>
      </w:tr>
      <w:tr w14:paraId="01C511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7DA48694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12EED5F8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3704DEE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0B5B51C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7A16583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宣传资料印刷册数（册）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E379B6F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2000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47E32CC1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1800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8F47C43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1500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69BC2F2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&lt;1500</w:t>
            </w:r>
          </w:p>
        </w:tc>
      </w:tr>
      <w:tr w14:paraId="5B7257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 w14:paraId="475A0624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2</w:t>
            </w:r>
            <w:r>
              <w:rPr>
                <w:rFonts w:hint="eastAsia" w:ascii="方正书宋_GBK" w:eastAsia="方正书宋_GBK"/>
                <w:b/>
              </w:rPr>
              <w:t>、律师公证管理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2990206F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6814A769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开展律师公证工作并承担相应责任。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7F6B5B0D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充分发挥法律服务职能，规范律师、公证行业管理。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FBD9A2B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提供法律咨询数量（宗）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253FE83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50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99A00C1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45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3856D12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40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DE2B03D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&lt;40</w:t>
            </w:r>
          </w:p>
        </w:tc>
      </w:tr>
      <w:tr w14:paraId="12F687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0A0CBE5F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575C28A8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374696F6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546CFBB0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2E0E3A63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年检机构满意率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C184A56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650DEAAA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AFEA0E0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85%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30FFD9F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&lt;85%</w:t>
            </w:r>
          </w:p>
        </w:tc>
      </w:tr>
      <w:tr w14:paraId="4C673D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51CFADA8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595CD346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203247F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0D7B66E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5F345EE8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机构年检率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7FA7BFE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99%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E7018F5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96%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E8533AC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93%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BED67F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&lt;93%</w:t>
            </w:r>
          </w:p>
        </w:tc>
      </w:tr>
      <w:tr w14:paraId="7149CB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 w14:paraId="58D8BBF5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3</w:t>
            </w:r>
            <w:r>
              <w:rPr>
                <w:rFonts w:hint="eastAsia" w:ascii="方正书宋_GBK" w:eastAsia="方正书宋_GBK"/>
                <w:b/>
              </w:rPr>
              <w:t>、基层司法业务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2917A853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64.14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00934DF7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负责全县社区矫正、人民调解、安置帮教、基层法律服务和基层司法所工作；会同人民法院指导人民陪审员工作；指导人民调解员协会工作；承担县安置帮教办公室、县社区矫正办公室的日常工作；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7D1D5B68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深化人民调解、社区矫正和安置帮教工作，最大限度降低重新违法犯罪和社会不稳定因素发生率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A14E9B8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人民调解案件数（件）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69CFA92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200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3267023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150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1BAE375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2505362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&lt;100</w:t>
            </w:r>
          </w:p>
        </w:tc>
      </w:tr>
      <w:tr w14:paraId="0FB6E1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5FD4234A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7AFFF90F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7B0AE20D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6A71A02D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23D2EC4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再犯罪减低率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C55F51C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&lt;0.2%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6875A9BA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0.2%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1CDD9EF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0.3%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F1AC988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0.4%</w:t>
            </w:r>
          </w:p>
        </w:tc>
      </w:tr>
      <w:tr w14:paraId="78A243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3DE14EE6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77885D72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5ED77AA6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22E865A0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181AE860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社区矫正人数（人）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F986A56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350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3EB9A32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300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62D0EC7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250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D79C32C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&lt;250</w:t>
            </w:r>
          </w:p>
        </w:tc>
      </w:tr>
      <w:tr w14:paraId="326F7A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42A07EF6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2262626D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3985FD6E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05CCF2AD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00493116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安置帮教人数（人次）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914351B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80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0DF1E9E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70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9621649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60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4C3BD38C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&lt;60</w:t>
            </w:r>
          </w:p>
        </w:tc>
      </w:tr>
      <w:tr w14:paraId="3CF2BB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2FEFE7F1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33ACEE83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57AC04FF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05E697B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7337BE00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服刑人员信息核查率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2E3A359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80%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138FA4A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70%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470B86B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60%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D3A289E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&lt;60%</w:t>
            </w:r>
          </w:p>
        </w:tc>
      </w:tr>
      <w:tr w14:paraId="53B03C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 w14:paraId="32433FC2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4</w:t>
            </w:r>
            <w:r>
              <w:rPr>
                <w:rFonts w:hint="eastAsia" w:ascii="方正书宋_GBK" w:eastAsia="方正书宋_GBK"/>
                <w:b/>
              </w:rPr>
              <w:t>、法律援助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61D2B35D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3B2536B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落实法律援助的法律法规和政策的执行；规划法律援助事业发展；管理县法律援助机构和法律援助从业人员；组织指导全县社会组织和志愿者开展法律援助工作；办理法律援助案件，政府购买法律援助服务；管理</w:t>
            </w:r>
            <w:r>
              <w:rPr>
                <w:rFonts w:hint="cs" w:ascii="方正书宋_GBK" w:eastAsia="方正书宋_GBK"/>
              </w:rPr>
              <w:t>“</w:t>
            </w:r>
            <w:r>
              <w:rPr>
                <w:rFonts w:ascii="方正书宋_GBK" w:eastAsia="方正书宋_GBK"/>
              </w:rPr>
              <w:t>12348”</w:t>
            </w:r>
            <w:r>
              <w:rPr>
                <w:rFonts w:hint="eastAsia" w:ascii="方正书宋_GBK" w:eastAsia="方正书宋_GBK"/>
              </w:rPr>
              <w:t>法律援助专线；组织实施全县中央专项彩票公益金项目，开展法律援助理论研究等工作。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0926EF1C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扩大法律援助覆盖面，推动全县法律援助工作长足发展。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6321496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法律援助案件办结率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CF348B5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6858D5B3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97%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D47BE0D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94%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4576AA8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&lt;94%</w:t>
            </w:r>
          </w:p>
        </w:tc>
      </w:tr>
      <w:tr w14:paraId="5CED7E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14EF1658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697BD5FC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2F8E212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195CC098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7FC48715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印刷法律援助宣传资料</w:t>
            </w:r>
            <w:r>
              <w:rPr>
                <w:rFonts w:ascii="方正书宋_GBK" w:eastAsia="方正书宋_GBK"/>
              </w:rPr>
              <w:t>(</w:t>
            </w:r>
            <w:r>
              <w:rPr>
                <w:rFonts w:hint="eastAsia" w:ascii="方正书宋_GBK" w:eastAsia="方正书宋_GBK"/>
              </w:rPr>
              <w:t>册）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64720206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1000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27EFC76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4655051D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800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AB90DA4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&lt;800</w:t>
            </w:r>
          </w:p>
        </w:tc>
      </w:tr>
      <w:tr w14:paraId="418CBF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472BE205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085D9505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63C2A58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1F4B0DE3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33441B6A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法律援助案件受理数（件）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401DD88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50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47FED249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40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41E6A54B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30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EB0ACC4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&lt;30</w:t>
            </w:r>
          </w:p>
        </w:tc>
      </w:tr>
      <w:tr w14:paraId="426CD6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 w14:paraId="3D06F908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5</w:t>
            </w:r>
            <w:r>
              <w:rPr>
                <w:rFonts w:hint="eastAsia" w:ascii="方正书宋_GBK" w:eastAsia="方正书宋_GBK"/>
                <w:b/>
              </w:rPr>
              <w:t>、司法鉴定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634ABAEA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5158C5E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拟定全县司法鉴定管理规定和技术规范；完成全县司法鉴定人和司法鉴定机构登记管理工作；负责县级司法鉴定机构的管理工作；开展面向社会的司法鉴定资质管理、质量管理和司法鉴定人继续教育培训。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 w14:paraId="0318323D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规范司法鉴定机构和司法鉴定人的管理，提高司法鉴定人员素质，促进司法鉴定的公正、公平。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9685FB7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司法鉴定人培训人次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4C332DFA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98%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4F4524C1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4AF3913B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D28A7AF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&lt;90%</w:t>
            </w:r>
          </w:p>
        </w:tc>
      </w:tr>
      <w:tr w14:paraId="0CF7AF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 w14:paraId="74D5E6C2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 w14:paraId="360A882A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5921CC96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 w14:paraId="24F2BA66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2BAB2DBA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司法鉴定机构年检率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ADCADD3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98%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7E6E63F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252FB71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6AB66D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&lt;90%</w:t>
            </w:r>
          </w:p>
        </w:tc>
      </w:tr>
      <w:tr w14:paraId="398332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 w14:paraId="2EB21697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二、司法政务管理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5F41CA2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A6D101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负责机关综合业务管理和机关直属事业单位综合事务管理。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455E433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促进司法系统执法能力全面提升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AB12446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 w14:paraId="4BBA2FA0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 w14:paraId="7AAB73CE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 w14:paraId="66FB3D81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 w14:paraId="2EC19D7B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 w14:paraId="0AB4AE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 w14:paraId="67BDC26F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1</w:t>
            </w:r>
            <w:r>
              <w:rPr>
                <w:rFonts w:hint="eastAsia" w:ascii="方正书宋_GBK" w:eastAsia="方正书宋_GBK"/>
                <w:b/>
              </w:rPr>
              <w:t>、司法教育培训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6C2521E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C05A361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开展学历教育和政法干警试点生培养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AAAB170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开展学历教育和政法干警试点生培养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0FE596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培训计划完成率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8808B87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98%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B4DC886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757E70B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099A426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&lt;90%</w:t>
            </w:r>
          </w:p>
        </w:tc>
      </w:tr>
      <w:tr w14:paraId="49B378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 w14:paraId="64EDDF90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2</w:t>
            </w:r>
            <w:r>
              <w:rPr>
                <w:rFonts w:hint="eastAsia" w:ascii="方正书宋_GBK" w:eastAsia="方正书宋_GBK"/>
                <w:b/>
              </w:rPr>
              <w:t>、综合业务管理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33A5D36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DBF776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负责系统物资装备管理；指导监督系统计划财务工作及队伍建设；负责系统警务管理和警务督察工作。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1A47364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加强纪检审计监督、信息化建设等，促进司法行政系统各项事业健康发展。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0472303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综合业务管理工作完成率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29D4B224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C801EF4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957E9C0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EC1E685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&lt;90%</w:t>
            </w:r>
          </w:p>
        </w:tc>
      </w:tr>
      <w:tr w14:paraId="077722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 w14:paraId="4578DACC"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3</w:t>
            </w:r>
            <w:r>
              <w:rPr>
                <w:rFonts w:hint="eastAsia" w:ascii="方正书宋_GBK" w:eastAsia="方正书宋_GBK"/>
                <w:b/>
              </w:rPr>
              <w:t>、综合政务管理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C177036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717C4C8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负责机关和直属事业单位经济财务等活动的内部审计监督；承办县政府交办的其他事项。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13B24F2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加强机关后勤保障，确保正常办公</w:t>
            </w:r>
            <w:r>
              <w:rPr>
                <w:rFonts w:hint="eastAsia" w:ascii="方正书宋_GBK" w:eastAsia="方正书宋_GBK"/>
                <w:lang w:val="en-US" w:eastAsia="zh-CN"/>
              </w:rPr>
              <w:t>环境</w:t>
            </w:r>
            <w:r>
              <w:rPr>
                <w:rFonts w:hint="eastAsia" w:ascii="方正书宋_GBK" w:eastAsia="方正书宋_GBK"/>
              </w:rPr>
              <w:t>需要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CA2268A"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综合事务工作完成率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0BC00E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998542C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95%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A698733"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90%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B28E833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&lt;90%</w:t>
            </w:r>
          </w:p>
        </w:tc>
      </w:tr>
    </w:tbl>
    <w:p w14:paraId="73E966DE"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 w14:paraId="413E90BB">
      <w:pPr>
        <w:autoSpaceDE w:val="0"/>
        <w:autoSpaceDN w:val="0"/>
        <w:adjustRightInd w:val="0"/>
        <w:jc w:val="left"/>
        <w:rPr>
          <w:rFonts w:hint="eastAsia" w:ascii="黑体" w:hAnsi="黑体" w:eastAsia="黑体" w:cs="Times New Roman"/>
          <w:sz w:val="32"/>
          <w:szCs w:val="32"/>
        </w:rPr>
      </w:pPr>
    </w:p>
    <w:p w14:paraId="02C43249">
      <w:pPr>
        <w:autoSpaceDE w:val="0"/>
        <w:autoSpaceDN w:val="0"/>
        <w:adjustRightInd w:val="0"/>
        <w:ind w:firstLine="960" w:firstLineChars="3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六、政府采购预算情况</w:t>
      </w:r>
    </w:p>
    <w:p w14:paraId="3C648F6E">
      <w:pPr>
        <w:ind w:firstLine="640"/>
        <w:outlineLvl w:val="0"/>
        <w:rPr>
          <w:rFonts w:hint="eastAsia" w:ascii="仿宋" w:hAnsi="仿宋" w:eastAsia="仿宋" w:cs="Times New Roman"/>
          <w:sz w:val="32"/>
          <w:szCs w:val="24"/>
        </w:rPr>
      </w:pPr>
      <w:bookmarkStart w:id="2" w:name="_Toc471398468"/>
      <w:r>
        <w:rPr>
          <w:rFonts w:ascii="仿宋" w:hAnsi="仿宋" w:eastAsia="仿宋" w:cs="Times New Roman"/>
          <w:sz w:val="32"/>
          <w:szCs w:val="24"/>
        </w:rPr>
        <w:t>201</w:t>
      </w:r>
      <w:r>
        <w:rPr>
          <w:rFonts w:hint="eastAsia" w:ascii="仿宋" w:hAnsi="仿宋" w:eastAsia="仿宋" w:cs="Times New Roman"/>
          <w:sz w:val="32"/>
          <w:szCs w:val="24"/>
          <w:lang w:val="en-US" w:eastAsia="zh-CN"/>
        </w:rPr>
        <w:t>9</w:t>
      </w:r>
      <w:r>
        <w:rPr>
          <w:rFonts w:hint="eastAsia" w:ascii="仿宋" w:hAnsi="仿宋" w:eastAsia="仿宋" w:cs="Times New Roman"/>
          <w:sz w:val="32"/>
          <w:szCs w:val="24"/>
        </w:rPr>
        <w:t>年我单位没有安排政府采购预算，政府采购预算金额为</w:t>
      </w:r>
      <w:r>
        <w:rPr>
          <w:rFonts w:ascii="仿宋" w:hAnsi="仿宋" w:eastAsia="仿宋" w:cs="Times New Roman"/>
          <w:sz w:val="32"/>
          <w:szCs w:val="24"/>
        </w:rPr>
        <w:t>0</w:t>
      </w:r>
      <w:r>
        <w:rPr>
          <w:rFonts w:hint="eastAsia" w:ascii="仿宋" w:hAnsi="仿宋" w:eastAsia="仿宋" w:cs="Times New Roman"/>
          <w:sz w:val="32"/>
          <w:szCs w:val="24"/>
        </w:rPr>
        <w:t>万元。</w:t>
      </w:r>
      <w:bookmarkEnd w:id="2"/>
    </w:p>
    <w:p w14:paraId="6FA7D20D">
      <w:pPr>
        <w:jc w:val="center"/>
        <w:outlineLvl w:val="0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方正小标宋_GBK" w:hAnsi="Times New Roman" w:eastAsia="方正小标宋_GBK" w:cs="Times New Roman"/>
          <w:sz w:val="32"/>
          <w:szCs w:val="24"/>
        </w:rPr>
        <w:t>政府采购预算</w:t>
      </w:r>
      <w:r>
        <w:rPr>
          <w:rFonts w:hint="eastAsia" w:ascii="方正小标宋_GBK" w:hAnsi="Times New Roman" w:eastAsia="方正小标宋_GBK" w:cs="Times New Roman"/>
          <w:sz w:val="32"/>
          <w:szCs w:val="24"/>
          <w:lang w:eastAsia="zh-CN"/>
        </w:rPr>
        <w:t>情况表</w:t>
      </w:r>
    </w:p>
    <w:tbl>
      <w:tblPr>
        <w:tblStyle w:val="7"/>
        <w:tblW w:w="1342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5"/>
        <w:gridCol w:w="800"/>
        <w:gridCol w:w="1095"/>
        <w:gridCol w:w="1155"/>
        <w:gridCol w:w="675"/>
        <w:gridCol w:w="649"/>
        <w:gridCol w:w="885"/>
        <w:gridCol w:w="855"/>
        <w:gridCol w:w="840"/>
        <w:gridCol w:w="1185"/>
        <w:gridCol w:w="1020"/>
        <w:gridCol w:w="990"/>
        <w:gridCol w:w="870"/>
        <w:gridCol w:w="825"/>
      </w:tblGrid>
      <w:tr w14:paraId="23A67E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6844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4BF2B329">
            <w:pPr>
              <w:spacing w:line="300" w:lineRule="exact"/>
              <w:jc w:val="center"/>
              <w:rPr>
                <w:rFonts w:hint="eastAsia" w:ascii="方正书宋_GBK" w:eastAsia="方正书宋_GBK"/>
                <w:b/>
                <w:lang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315深泽县司法局</w:t>
            </w:r>
          </w:p>
        </w:tc>
        <w:tc>
          <w:tcPr>
            <w:tcW w:w="6585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5740F6E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单位：万元</w:t>
            </w:r>
          </w:p>
        </w:tc>
      </w:tr>
      <w:tr w14:paraId="3ED84A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38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7833B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政府采购项目来源</w:t>
            </w:r>
          </w:p>
        </w:tc>
        <w:tc>
          <w:tcPr>
            <w:tcW w:w="109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938E5C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采购物品名称</w:t>
            </w:r>
          </w:p>
        </w:tc>
        <w:tc>
          <w:tcPr>
            <w:tcW w:w="115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6E6D55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政府采购</w:t>
            </w:r>
          </w:p>
        </w:tc>
        <w:tc>
          <w:tcPr>
            <w:tcW w:w="67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4859D6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数量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单位</w:t>
            </w:r>
          </w:p>
        </w:tc>
        <w:tc>
          <w:tcPr>
            <w:tcW w:w="64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834DCF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数量</w:t>
            </w:r>
          </w:p>
        </w:tc>
        <w:tc>
          <w:tcPr>
            <w:tcW w:w="88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391EA6C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单价</w:t>
            </w:r>
          </w:p>
        </w:tc>
        <w:tc>
          <w:tcPr>
            <w:tcW w:w="6585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05E8874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政府采购金额</w:t>
            </w:r>
          </w:p>
        </w:tc>
      </w:tr>
      <w:tr w14:paraId="447485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158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C0C297A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80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660F2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预算资金</w:t>
            </w:r>
          </w:p>
        </w:tc>
        <w:tc>
          <w:tcPr>
            <w:tcW w:w="109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E511F00">
            <w:pPr>
              <w:spacing w:line="300" w:lineRule="exact"/>
              <w:jc w:val="left"/>
              <w:outlineLvl w:val="0"/>
            </w:pPr>
          </w:p>
        </w:tc>
        <w:tc>
          <w:tcPr>
            <w:tcW w:w="115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2D7969">
            <w:pPr>
              <w:spacing w:line="300" w:lineRule="exact"/>
              <w:jc w:val="left"/>
              <w:outlineLvl w:val="0"/>
            </w:pPr>
          </w:p>
        </w:tc>
        <w:tc>
          <w:tcPr>
            <w:tcW w:w="67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8B7569F">
            <w:pPr>
              <w:spacing w:line="300" w:lineRule="exact"/>
              <w:jc w:val="left"/>
              <w:outlineLvl w:val="0"/>
            </w:pPr>
          </w:p>
        </w:tc>
        <w:tc>
          <w:tcPr>
            <w:tcW w:w="64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D4E867D">
            <w:pPr>
              <w:spacing w:line="300" w:lineRule="exact"/>
              <w:jc w:val="left"/>
              <w:outlineLvl w:val="0"/>
            </w:pPr>
          </w:p>
        </w:tc>
        <w:tc>
          <w:tcPr>
            <w:tcW w:w="88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EDDE935">
            <w:pPr>
              <w:spacing w:line="300" w:lineRule="exact"/>
              <w:jc w:val="left"/>
              <w:outlineLvl w:val="0"/>
            </w:pPr>
          </w:p>
        </w:tc>
        <w:tc>
          <w:tcPr>
            <w:tcW w:w="85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4BA93C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总计</w:t>
            </w:r>
          </w:p>
        </w:tc>
        <w:tc>
          <w:tcPr>
            <w:tcW w:w="4905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ACEFCA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当年部门预算安排资金</w:t>
            </w:r>
          </w:p>
        </w:tc>
        <w:tc>
          <w:tcPr>
            <w:tcW w:w="825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E93DEBB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其他渠道资金</w:t>
            </w:r>
          </w:p>
        </w:tc>
      </w:tr>
      <w:tr w14:paraId="2351EA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158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8376C4">
            <w:pPr>
              <w:spacing w:line="300" w:lineRule="exact"/>
              <w:jc w:val="left"/>
              <w:outlineLvl w:val="0"/>
            </w:pPr>
          </w:p>
        </w:tc>
        <w:tc>
          <w:tcPr>
            <w:tcW w:w="8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653CE6F">
            <w:pPr>
              <w:spacing w:line="300" w:lineRule="exact"/>
              <w:jc w:val="left"/>
              <w:outlineLvl w:val="0"/>
            </w:pPr>
          </w:p>
        </w:tc>
        <w:tc>
          <w:tcPr>
            <w:tcW w:w="109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C94108">
            <w:pPr>
              <w:spacing w:line="300" w:lineRule="exact"/>
              <w:jc w:val="left"/>
              <w:outlineLvl w:val="0"/>
            </w:pPr>
          </w:p>
        </w:tc>
        <w:tc>
          <w:tcPr>
            <w:tcW w:w="115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07428D">
            <w:pPr>
              <w:spacing w:line="300" w:lineRule="exact"/>
              <w:jc w:val="left"/>
              <w:outlineLvl w:val="0"/>
            </w:pPr>
          </w:p>
        </w:tc>
        <w:tc>
          <w:tcPr>
            <w:tcW w:w="67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3FE4256">
            <w:pPr>
              <w:spacing w:line="300" w:lineRule="exact"/>
              <w:jc w:val="left"/>
              <w:outlineLvl w:val="0"/>
            </w:pPr>
          </w:p>
        </w:tc>
        <w:tc>
          <w:tcPr>
            <w:tcW w:w="64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E02B6C4">
            <w:pPr>
              <w:spacing w:line="300" w:lineRule="exact"/>
              <w:jc w:val="left"/>
              <w:outlineLvl w:val="0"/>
            </w:pPr>
          </w:p>
        </w:tc>
        <w:tc>
          <w:tcPr>
            <w:tcW w:w="88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BD540E">
            <w:pPr>
              <w:spacing w:line="300" w:lineRule="exact"/>
              <w:jc w:val="left"/>
              <w:outlineLvl w:val="0"/>
            </w:pPr>
          </w:p>
        </w:tc>
        <w:tc>
          <w:tcPr>
            <w:tcW w:w="85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DE4CFC3">
            <w:pPr>
              <w:spacing w:line="300" w:lineRule="exact"/>
              <w:jc w:val="left"/>
              <w:outlineLvl w:val="0"/>
            </w:pPr>
          </w:p>
        </w:tc>
        <w:tc>
          <w:tcPr>
            <w:tcW w:w="8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D8C6246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11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2056DB5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10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BC0DA3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9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1D834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8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27A7C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  <w:tc>
          <w:tcPr>
            <w:tcW w:w="825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8A65561">
            <w:pPr>
              <w:spacing w:line="300" w:lineRule="exact"/>
              <w:jc w:val="left"/>
              <w:outlineLvl w:val="0"/>
            </w:pPr>
          </w:p>
        </w:tc>
      </w:tr>
      <w:tr w14:paraId="170A60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D3893CE">
            <w:pPr>
              <w:spacing w:line="300" w:lineRule="exact"/>
              <w:jc w:val="center"/>
              <w:rPr>
                <w:rFonts w:hint="eastAsia" w:ascii="方正书宋_GBK" w:eastAsia="方正书宋_GBK"/>
                <w:b/>
                <w:lang w:eastAsia="zh-CN"/>
              </w:rPr>
            </w:pPr>
            <w:r>
              <w:rPr>
                <w:rFonts w:hint="eastAsia" w:ascii="方正书宋_GBK" w:eastAsia="方正书宋_GBK"/>
                <w:b/>
                <w:lang w:eastAsia="zh-CN"/>
              </w:rPr>
              <w:t>无</w:t>
            </w:r>
          </w:p>
        </w:tc>
        <w:tc>
          <w:tcPr>
            <w:tcW w:w="8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31B9A12">
            <w:pPr>
              <w:spacing w:line="300" w:lineRule="exact"/>
              <w:jc w:val="right"/>
              <w:rPr>
                <w:rFonts w:hint="eastAsia" w:ascii="方正书宋_GBK" w:eastAsia="方正书宋_GBK"/>
                <w:b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7E6BC8"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lang w:val="en-US" w:eastAsia="zh-CN"/>
              </w:rPr>
            </w:pPr>
          </w:p>
        </w:tc>
        <w:tc>
          <w:tcPr>
            <w:tcW w:w="11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29397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7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6827122"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6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1DEB8B">
            <w:pPr>
              <w:spacing w:line="300" w:lineRule="exact"/>
              <w:jc w:val="right"/>
              <w:rPr>
                <w:rFonts w:hint="eastAsia" w:ascii="方正书宋_GBK" w:eastAsia="方正书宋_GBK"/>
                <w:b/>
                <w:lang w:val="en-US" w:eastAsia="zh-CN"/>
              </w:rPr>
            </w:pPr>
          </w:p>
        </w:tc>
        <w:tc>
          <w:tcPr>
            <w:tcW w:w="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D9F4E79">
            <w:pPr>
              <w:spacing w:line="300" w:lineRule="exact"/>
              <w:jc w:val="right"/>
              <w:rPr>
                <w:rFonts w:hint="eastAsia" w:ascii="方正书宋_GBK" w:eastAsia="方正书宋_GBK"/>
                <w:b/>
                <w:lang w:val="en-US" w:eastAsia="zh-CN"/>
              </w:rPr>
            </w:pPr>
          </w:p>
        </w:tc>
        <w:tc>
          <w:tcPr>
            <w:tcW w:w="8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EAFDF6">
            <w:pPr>
              <w:spacing w:line="300" w:lineRule="exact"/>
              <w:jc w:val="right"/>
              <w:rPr>
                <w:rFonts w:hint="eastAsia" w:ascii="方正书宋_GBK" w:eastAsia="方正书宋_GBK"/>
                <w:b/>
                <w:lang w:val="en-US" w:eastAsia="zh-CN"/>
              </w:rPr>
            </w:pPr>
          </w:p>
        </w:tc>
        <w:tc>
          <w:tcPr>
            <w:tcW w:w="8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C5CA0B">
            <w:pPr>
              <w:spacing w:line="300" w:lineRule="exact"/>
              <w:jc w:val="right"/>
              <w:rPr>
                <w:rFonts w:hint="eastAsia" w:ascii="方正书宋_GBK" w:eastAsia="方正书宋_GBK"/>
                <w:b/>
                <w:lang w:val="en-US" w:eastAsia="zh-CN"/>
              </w:rPr>
            </w:pPr>
          </w:p>
        </w:tc>
        <w:tc>
          <w:tcPr>
            <w:tcW w:w="11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563E08B">
            <w:pPr>
              <w:spacing w:line="300" w:lineRule="exact"/>
              <w:jc w:val="right"/>
              <w:rPr>
                <w:rFonts w:hint="eastAsia" w:ascii="方正书宋_GBK" w:eastAsia="方正书宋_GBK"/>
                <w:b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E153208"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9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D88834B"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8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0BBEBE1"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82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C2CDAD"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 w14:paraId="2BCEA4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D567D17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8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18B2497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0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CFCBB7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1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2CD509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67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A658C0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6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CDBF4BD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31D495F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4129AE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AA952C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1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2087526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0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B7439D8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880885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3B931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2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A93BFB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 w14:paraId="679C19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DE93EDF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8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8ABA217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0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95AF18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1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0DAD22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67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A1A87F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6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89C82DD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9B334C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690B07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BF57CD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1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73D62E1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0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4C3E77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9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98708C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26D948D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2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AA3117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 w14:paraId="72EBEC89">
      <w:pPr>
        <w:autoSpaceDE w:val="0"/>
        <w:autoSpaceDN w:val="0"/>
        <w:adjustRightInd w:val="0"/>
        <w:ind w:firstLine="960" w:firstLineChars="3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七、国有资产信息</w:t>
      </w:r>
    </w:p>
    <w:p w14:paraId="6F4A8DE6"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上年末固定资产金额为</w:t>
      </w:r>
      <w:r>
        <w:rPr>
          <w:rFonts w:hint="eastAsia" w:ascii="仿宋" w:hAnsi="仿宋" w:eastAsia="仿宋" w:cs="仿宋_GB2312"/>
          <w:sz w:val="30"/>
          <w:szCs w:val="30"/>
          <w:lang w:val="en-US" w:eastAsia="zh-CN"/>
        </w:rPr>
        <w:t>290.66</w:t>
      </w:r>
      <w:r>
        <w:rPr>
          <w:rFonts w:hint="eastAsia" w:ascii="仿宋" w:hAnsi="仿宋" w:eastAsia="仿宋" w:cs="仿宋_GB2312"/>
          <w:sz w:val="32"/>
          <w:szCs w:val="32"/>
        </w:rPr>
        <w:t>万元（详见下表）。本年度拟购置的固定资产为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_GB2312"/>
          <w:sz w:val="32"/>
          <w:szCs w:val="32"/>
        </w:rPr>
        <w:t>万元。</w:t>
      </w:r>
    </w:p>
    <w:p w14:paraId="278900D0">
      <w:pPr>
        <w:ind w:firstLine="640"/>
        <w:rPr>
          <w:rFonts w:ascii="仿宋_GB2312" w:hAnsi="黑体" w:eastAsia="仿宋_GB2312" w:cs="Times New Roman"/>
          <w:color w:val="FF0000"/>
          <w:sz w:val="32"/>
          <w:szCs w:val="32"/>
        </w:rPr>
      </w:pPr>
    </w:p>
    <w:tbl>
      <w:tblPr>
        <w:tblStyle w:val="7"/>
        <w:tblW w:w="13482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4"/>
        <w:gridCol w:w="3155"/>
        <w:gridCol w:w="5103"/>
      </w:tblGrid>
      <w:tr w14:paraId="05335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348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B61575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</w:pPr>
          </w:p>
          <w:p w14:paraId="3BDBDB6B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</w:pPr>
          </w:p>
          <w:p w14:paraId="4646191B">
            <w:pPr>
              <w:widowControl/>
              <w:jc w:val="center"/>
              <w:rPr>
                <w:rFonts w:asci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深泽县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>司法局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固定资产占用情况表</w:t>
            </w:r>
          </w:p>
        </w:tc>
      </w:tr>
      <w:tr w14:paraId="32A49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837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D14724">
            <w:pPr>
              <w:widowControl/>
              <w:jc w:val="left"/>
              <w:rPr>
                <w:rFonts w:asci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编制部门：</w:t>
            </w:r>
            <w:r>
              <w:rPr>
                <w:rFonts w:hint="eastAsia" w:ascii="宋体" w:hAnsi="宋体" w:cs="宋体"/>
                <w:kern w:val="0"/>
                <w:sz w:val="22"/>
                <w:lang w:eastAsia="zh-CN"/>
              </w:rPr>
              <w:t>深泽县司法局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C5D1DE">
            <w:pPr>
              <w:widowControl/>
              <w:jc w:val="left"/>
              <w:rPr>
                <w:rFonts w:asci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截止时间：</w:t>
            </w:r>
            <w:r>
              <w:rPr>
                <w:rFonts w:ascii="宋体" w:hAnsi="宋体" w:cs="宋体"/>
                <w:kern w:val="0"/>
                <w:sz w:val="22"/>
              </w:rPr>
              <w:t>201</w:t>
            </w:r>
            <w:r>
              <w:rPr>
                <w:rFonts w:hint="eastAsia" w:ascii="宋体" w:hAnsi="宋体" w:cs="宋体"/>
                <w:kern w:val="0"/>
                <w:sz w:val="22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kern w:val="0"/>
                <w:sz w:val="22"/>
              </w:rPr>
              <w:t>年</w:t>
            </w:r>
            <w:r>
              <w:rPr>
                <w:rFonts w:ascii="宋体" w:hAnsi="宋体" w:cs="宋体"/>
                <w:kern w:val="0"/>
                <w:sz w:val="22"/>
              </w:rPr>
              <w:t>12</w:t>
            </w:r>
            <w:r>
              <w:rPr>
                <w:rFonts w:hint="eastAsia" w:ascii="宋体" w:hAnsi="宋体" w:cs="宋体"/>
                <w:kern w:val="0"/>
                <w:sz w:val="22"/>
              </w:rPr>
              <w:t>月</w:t>
            </w:r>
            <w:r>
              <w:rPr>
                <w:rFonts w:ascii="宋体" w:hAnsi="宋体" w:cs="宋体"/>
                <w:kern w:val="0"/>
                <w:sz w:val="22"/>
              </w:rPr>
              <w:t>31</w:t>
            </w:r>
            <w:r>
              <w:rPr>
                <w:rFonts w:hint="eastAsia" w:ascii="宋体" w:hAnsi="宋体" w:cs="宋体"/>
                <w:kern w:val="0"/>
                <w:sz w:val="22"/>
              </w:rPr>
              <w:t>日</w:t>
            </w:r>
            <w:r>
              <w:rPr>
                <w:rFonts w:ascii="宋体" w:hAnsi="宋体" w:cs="宋体"/>
                <w:kern w:val="0"/>
                <w:sz w:val="22"/>
              </w:rPr>
              <w:t xml:space="preserve">  </w:t>
            </w:r>
          </w:p>
        </w:tc>
      </w:tr>
      <w:tr w14:paraId="7AA36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7DB76">
            <w:pPr>
              <w:widowControl/>
              <w:jc w:val="center"/>
              <w:rPr>
                <w:rFonts w:ascii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</w:rPr>
              <w:t>项</w:t>
            </w:r>
            <w:r>
              <w:rPr>
                <w:rFonts w:ascii="宋体" w:hAnsi="宋体" w:cs="宋体"/>
                <w:b/>
                <w:bCs/>
                <w:kern w:val="0"/>
                <w:sz w:val="22"/>
              </w:rPr>
              <w:t xml:space="preserve">   </w:t>
            </w:r>
            <w:r>
              <w:rPr>
                <w:rFonts w:hint="eastAsia" w:ascii="宋体" w:hAnsi="宋体" w:cs="宋体"/>
                <w:b/>
                <w:bCs/>
                <w:kern w:val="0"/>
                <w:sz w:val="22"/>
              </w:rPr>
              <w:t>目</w:t>
            </w:r>
          </w:p>
        </w:tc>
        <w:tc>
          <w:tcPr>
            <w:tcW w:w="3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9056CE">
            <w:pPr>
              <w:widowControl/>
              <w:jc w:val="center"/>
              <w:rPr>
                <w:rFonts w:ascii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</w:rPr>
              <w:t>数量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CAA558">
            <w:pPr>
              <w:widowControl/>
              <w:jc w:val="center"/>
              <w:rPr>
                <w:rFonts w:ascii="宋体" w:cs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</w:rPr>
              <w:t>价值（金额单位：万元）</w:t>
            </w:r>
          </w:p>
        </w:tc>
      </w:tr>
      <w:tr w14:paraId="5175B0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E9310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资产总额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D5BC98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——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9025CDE">
            <w:pPr>
              <w:widowControl/>
              <w:jc w:val="center"/>
              <w:rPr>
                <w:rFonts w:hint="eastAsia" w:ascii="宋体" w:eastAsia="宋体" w:cs="宋体"/>
                <w:kern w:val="0"/>
                <w:sz w:val="2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lang w:val="en-US" w:eastAsia="zh-CN"/>
              </w:rPr>
              <w:t>290.66</w:t>
            </w:r>
          </w:p>
        </w:tc>
      </w:tr>
      <w:tr w14:paraId="2A888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E2AA84">
            <w:pPr>
              <w:widowControl/>
              <w:jc w:val="left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1</w:t>
            </w:r>
            <w:r>
              <w:rPr>
                <w:rFonts w:hint="eastAsia" w:ascii="宋体" w:hAnsi="宋体" w:cs="宋体"/>
                <w:kern w:val="0"/>
                <w:sz w:val="22"/>
              </w:rPr>
              <w:t>、房屋（平方米）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EE46FA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890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0E748E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52.7</w:t>
            </w:r>
          </w:p>
        </w:tc>
      </w:tr>
      <w:tr w14:paraId="66F89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3B69EE">
            <w:pPr>
              <w:widowControl/>
              <w:jc w:val="left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</w:rPr>
              <w:t>其中：办公用房（平方米）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4C2882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CD6F6D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</w:p>
        </w:tc>
      </w:tr>
      <w:tr w14:paraId="364D0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001EB">
            <w:pPr>
              <w:widowControl/>
              <w:jc w:val="left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2</w:t>
            </w:r>
            <w:r>
              <w:rPr>
                <w:rFonts w:hint="eastAsia" w:ascii="宋体" w:hAnsi="宋体" w:cs="宋体"/>
                <w:kern w:val="0"/>
                <w:sz w:val="22"/>
              </w:rPr>
              <w:t>、车辆（台、辆）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1BA8A7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6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5F47AE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35.72</w:t>
            </w:r>
          </w:p>
        </w:tc>
      </w:tr>
      <w:tr w14:paraId="7B901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C4773">
            <w:pPr>
              <w:widowControl/>
              <w:jc w:val="left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3</w:t>
            </w:r>
            <w:r>
              <w:rPr>
                <w:rFonts w:hint="eastAsia" w:ascii="宋体" w:hAnsi="宋体" w:cs="宋体"/>
                <w:kern w:val="0"/>
                <w:sz w:val="22"/>
              </w:rPr>
              <w:t>、单价在</w:t>
            </w:r>
            <w:r>
              <w:rPr>
                <w:rFonts w:ascii="宋体" w:hAnsi="宋体" w:cs="宋体"/>
                <w:kern w:val="0"/>
                <w:sz w:val="22"/>
              </w:rPr>
              <w:t>20</w:t>
            </w:r>
            <w:r>
              <w:rPr>
                <w:rFonts w:hint="eastAsia" w:ascii="宋体" w:hAnsi="宋体" w:cs="宋体"/>
                <w:kern w:val="0"/>
                <w:sz w:val="22"/>
              </w:rPr>
              <w:t>万元以上设备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FD58CC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——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E75C72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</w:p>
        </w:tc>
      </w:tr>
      <w:tr w14:paraId="1D026B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2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AD53B">
            <w:pPr>
              <w:widowControl/>
              <w:jc w:val="left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4</w:t>
            </w:r>
            <w:r>
              <w:rPr>
                <w:rFonts w:hint="eastAsia" w:ascii="宋体" w:hAnsi="宋体" w:cs="宋体"/>
                <w:kern w:val="0"/>
                <w:sz w:val="22"/>
              </w:rPr>
              <w:t>、其他固定资产</w:t>
            </w:r>
          </w:p>
        </w:tc>
        <w:tc>
          <w:tcPr>
            <w:tcW w:w="3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0C45F7">
            <w:pPr>
              <w:widowControl/>
              <w:jc w:val="center"/>
              <w:rPr>
                <w:rFonts w:ascii="宋体" w:cs="宋体"/>
                <w:kern w:val="0"/>
                <w:sz w:val="22"/>
              </w:rPr>
            </w:pPr>
            <w:r>
              <w:rPr>
                <w:rFonts w:ascii="宋体" w:hAnsi="宋体" w:cs="宋体"/>
                <w:kern w:val="0"/>
                <w:sz w:val="22"/>
              </w:rPr>
              <w:t>——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A42051">
            <w:pPr>
              <w:widowControl/>
              <w:jc w:val="center"/>
              <w:rPr>
                <w:rFonts w:hint="eastAsia" w:ascii="宋体" w:eastAsia="宋体" w:cs="宋体"/>
                <w:kern w:val="0"/>
                <w:sz w:val="22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lang w:val="en-US" w:eastAsia="zh-CN"/>
              </w:rPr>
              <w:t>202.24</w:t>
            </w:r>
          </w:p>
        </w:tc>
      </w:tr>
    </w:tbl>
    <w:p w14:paraId="5E43C1A8">
      <w:pPr>
        <w:numPr>
          <w:ilvl w:val="0"/>
          <w:numId w:val="3"/>
        </w:numPr>
        <w:autoSpaceDE w:val="0"/>
        <w:autoSpaceDN w:val="0"/>
        <w:adjustRightInd w:val="0"/>
        <w:ind w:left="198" w:firstLine="643" w:firstLineChars="200"/>
        <w:jc w:val="left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名词解释</w:t>
      </w:r>
    </w:p>
    <w:p w14:paraId="094A3E6C"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1</w:t>
      </w:r>
      <w:r>
        <w:rPr>
          <w:rFonts w:hint="eastAsia" w:ascii="仿宋" w:hAnsi="仿宋" w:eastAsia="仿宋" w:cs="仿宋_GB2312"/>
          <w:sz w:val="32"/>
          <w:szCs w:val="32"/>
        </w:rPr>
        <w:t>、一般公共预算收入：县级财政当年拨付的资金。</w:t>
      </w:r>
    </w:p>
    <w:p w14:paraId="42A8CD51"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2</w:t>
      </w:r>
      <w:r>
        <w:rPr>
          <w:rFonts w:hint="eastAsia" w:ascii="仿宋" w:hAnsi="仿宋" w:eastAsia="仿宋" w:cs="仿宋_GB2312"/>
          <w:sz w:val="32"/>
          <w:szCs w:val="32"/>
        </w:rPr>
        <w:t>、基本支出：为保障机构正常运转，完成日常工作任务，而发生的人员支出和公用支出。</w:t>
      </w:r>
    </w:p>
    <w:p w14:paraId="62F1C4C7"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3</w:t>
      </w:r>
      <w:r>
        <w:rPr>
          <w:rFonts w:hint="eastAsia" w:ascii="仿宋" w:hAnsi="仿宋" w:eastAsia="仿宋" w:cs="仿宋_GB2312"/>
          <w:sz w:val="32"/>
          <w:szCs w:val="32"/>
        </w:rPr>
        <w:t>、项目支出：是指在基本支出之外，为完成特定行政任务和事业发展目标，而发生的支出。</w:t>
      </w:r>
    </w:p>
    <w:p w14:paraId="52A7E491"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4</w:t>
      </w:r>
      <w:r>
        <w:rPr>
          <w:rFonts w:hint="eastAsia" w:ascii="仿宋" w:hAnsi="仿宋" w:eastAsia="仿宋" w:cs="仿宋_GB2312"/>
          <w:sz w:val="32"/>
          <w:szCs w:val="32"/>
        </w:rPr>
        <w:t>、机关运行费：是指各部门的公用经费，包括办公及印刷费、邮电费、差旅费、会议费、福利费、日常维修费、专用材料及一般设备购置费、办公用房水电费、办公用房取暖费、办公用房物业管理费、公务用车运行维护费及其他费用。</w:t>
      </w:r>
    </w:p>
    <w:p w14:paraId="75A24E7C">
      <w:pPr>
        <w:ind w:firstLine="803" w:firstLineChars="250"/>
        <w:rPr>
          <w:rFonts w:ascii="宋体-方正超大字符集" w:hAnsi="宋体-方正超大字符集" w:eastAsia="宋体-方正超大字符集" w:cs="宋体-方正超大字符集"/>
          <w:b/>
          <w:bCs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九、其他需要说明的事项：</w:t>
      </w:r>
      <w:r>
        <w:rPr>
          <w:rFonts w:hint="eastAsia" w:ascii="仿宋" w:hAnsi="仿宋" w:eastAsia="仿宋"/>
          <w:sz w:val="32"/>
          <w:szCs w:val="32"/>
        </w:rPr>
        <w:t>我单位没有安排政府性基金预算和国有资本经营预算财政拨款，特此说明。</w:t>
      </w:r>
    </w:p>
    <w:p w14:paraId="36AA56D7"/>
    <w:p w14:paraId="6CC18BA5">
      <w:pPr>
        <w:jc w:val="left"/>
        <w:rPr>
          <w:rFonts w:ascii="黑体" w:eastAsia="黑体"/>
          <w:sz w:val="32"/>
          <w:szCs w:val="32"/>
        </w:rPr>
      </w:pPr>
      <w:r>
        <w:rPr>
          <w:rFonts w:ascii="黑体" w:eastAsia="黑体"/>
          <w:sz w:val="32"/>
          <w:szCs w:val="32"/>
        </w:rPr>
        <w:t xml:space="preserve"> </w:t>
      </w:r>
    </w:p>
    <w:p w14:paraId="2E3811D1">
      <w:pPr>
        <w:autoSpaceDE w:val="0"/>
        <w:autoSpaceDN w:val="0"/>
        <w:adjustRightInd w:val="0"/>
        <w:ind w:left="420" w:leftChars="200" w:firstLine="640" w:firstLineChars="200"/>
        <w:jc w:val="left"/>
        <w:rPr>
          <w:rFonts w:ascii="宋体-方正超大字符集" w:hAnsi="宋体-方正超大字符集" w:eastAsia="宋体-方正超大字符集" w:cs="宋体-方正超大字符集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小标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宋体-方正超大字符集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">
    <w:p>
      <w:r>
        <w:separator/>
      </w:r>
    </w:p>
  </w:footnote>
  <w:footnote w:type="continuationSeparator" w:id="3">
    <w:p>
      <w:r>
        <w:continuationSeparator/>
      </w:r>
    </w:p>
  </w:footnote>
  <w:footnote w:id="0">
    <w:p w14:paraId="436202FD">
      <w:pPr>
        <w:pStyle w:val="5"/>
        <w:rPr>
          <w:rFonts w:hint="eastAsia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818F2D"/>
    <w:multiLevelType w:val="singleLevel"/>
    <w:tmpl w:val="58818F2D"/>
    <w:lvl w:ilvl="0" w:tentative="0">
      <w:start w:val="2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81B3F2"/>
    <w:multiLevelType w:val="singleLevel"/>
    <w:tmpl w:val="5881B3F2"/>
    <w:lvl w:ilvl="0" w:tentative="0">
      <w:start w:val="8"/>
      <w:numFmt w:val="chineseCounting"/>
      <w:suff w:val="nothing"/>
      <w:lvlText w:val="%1、"/>
      <w:lvlJc w:val="left"/>
      <w:rPr>
        <w:rFonts w:cs="Times New Roman"/>
      </w:rPr>
    </w:lvl>
  </w:abstractNum>
  <w:abstractNum w:abstractNumId="2">
    <w:nsid w:val="58D0F5DA"/>
    <w:multiLevelType w:val="singleLevel"/>
    <w:tmpl w:val="58D0F5DA"/>
    <w:lvl w:ilvl="0" w:tentative="0">
      <w:start w:val="3"/>
      <w:numFmt w:val="chineseCounting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2"/>
    <w:footnote w:id="3"/>
  </w:footnotePr>
  <w:compat>
    <w:spaceForUL/>
    <w:balanceSingleByteDoubleByteWidth/>
    <w:doNotLeaveBackslashAlon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66032"/>
    <w:rsid w:val="00037AF6"/>
    <w:rsid w:val="00075D5F"/>
    <w:rsid w:val="000B3E8D"/>
    <w:rsid w:val="000C3A19"/>
    <w:rsid w:val="000E0D8C"/>
    <w:rsid w:val="000F7712"/>
    <w:rsid w:val="001245BB"/>
    <w:rsid w:val="00241FD4"/>
    <w:rsid w:val="00251B12"/>
    <w:rsid w:val="00296113"/>
    <w:rsid w:val="002F3E58"/>
    <w:rsid w:val="0030542C"/>
    <w:rsid w:val="00311B7A"/>
    <w:rsid w:val="00313267"/>
    <w:rsid w:val="00314C7B"/>
    <w:rsid w:val="00383B56"/>
    <w:rsid w:val="003A18AA"/>
    <w:rsid w:val="003A5DA4"/>
    <w:rsid w:val="00425F48"/>
    <w:rsid w:val="00451420"/>
    <w:rsid w:val="00451871"/>
    <w:rsid w:val="00472923"/>
    <w:rsid w:val="00486743"/>
    <w:rsid w:val="004A0948"/>
    <w:rsid w:val="004E3066"/>
    <w:rsid w:val="004E74CD"/>
    <w:rsid w:val="0052691C"/>
    <w:rsid w:val="0056781E"/>
    <w:rsid w:val="00573562"/>
    <w:rsid w:val="005804EB"/>
    <w:rsid w:val="00614A29"/>
    <w:rsid w:val="00664AD5"/>
    <w:rsid w:val="006934DC"/>
    <w:rsid w:val="006B6D5D"/>
    <w:rsid w:val="006E3FDA"/>
    <w:rsid w:val="0075393C"/>
    <w:rsid w:val="00756A85"/>
    <w:rsid w:val="00776C08"/>
    <w:rsid w:val="00787B4E"/>
    <w:rsid w:val="007D3F1E"/>
    <w:rsid w:val="007E1DA8"/>
    <w:rsid w:val="007F6C26"/>
    <w:rsid w:val="00802891"/>
    <w:rsid w:val="008334AE"/>
    <w:rsid w:val="00836FED"/>
    <w:rsid w:val="00845CD2"/>
    <w:rsid w:val="00852B0D"/>
    <w:rsid w:val="00865875"/>
    <w:rsid w:val="00877DA4"/>
    <w:rsid w:val="00881692"/>
    <w:rsid w:val="00887B5F"/>
    <w:rsid w:val="008A5F14"/>
    <w:rsid w:val="008B3CC5"/>
    <w:rsid w:val="008E4261"/>
    <w:rsid w:val="008F3E86"/>
    <w:rsid w:val="008F4662"/>
    <w:rsid w:val="00905D08"/>
    <w:rsid w:val="00925753"/>
    <w:rsid w:val="00966C5C"/>
    <w:rsid w:val="00973104"/>
    <w:rsid w:val="00A02C1F"/>
    <w:rsid w:val="00A250A3"/>
    <w:rsid w:val="00A72D2E"/>
    <w:rsid w:val="00A817E7"/>
    <w:rsid w:val="00A911E7"/>
    <w:rsid w:val="00A939D9"/>
    <w:rsid w:val="00B20712"/>
    <w:rsid w:val="00B2728E"/>
    <w:rsid w:val="00B43238"/>
    <w:rsid w:val="00B75216"/>
    <w:rsid w:val="00B91D52"/>
    <w:rsid w:val="00BA1ACD"/>
    <w:rsid w:val="00C57A40"/>
    <w:rsid w:val="00C85BB4"/>
    <w:rsid w:val="00CA7176"/>
    <w:rsid w:val="00CC163D"/>
    <w:rsid w:val="00CD15CC"/>
    <w:rsid w:val="00CD2773"/>
    <w:rsid w:val="00CE143B"/>
    <w:rsid w:val="00D22BF3"/>
    <w:rsid w:val="00D743B0"/>
    <w:rsid w:val="00D74B13"/>
    <w:rsid w:val="00DE56C0"/>
    <w:rsid w:val="00E15234"/>
    <w:rsid w:val="00E167C7"/>
    <w:rsid w:val="00E86E85"/>
    <w:rsid w:val="00EC2DA7"/>
    <w:rsid w:val="00EC47F6"/>
    <w:rsid w:val="00F27FFB"/>
    <w:rsid w:val="00F46AAA"/>
    <w:rsid w:val="00F61EC0"/>
    <w:rsid w:val="00F66032"/>
    <w:rsid w:val="00F8273F"/>
    <w:rsid w:val="00F958C2"/>
    <w:rsid w:val="00FF4516"/>
    <w:rsid w:val="01FB23CB"/>
    <w:rsid w:val="0AD356C0"/>
    <w:rsid w:val="0B0D77B0"/>
    <w:rsid w:val="0C3D5924"/>
    <w:rsid w:val="0D9F1876"/>
    <w:rsid w:val="0DE83E92"/>
    <w:rsid w:val="0FBD66C7"/>
    <w:rsid w:val="10ED36A0"/>
    <w:rsid w:val="114917E9"/>
    <w:rsid w:val="15F42192"/>
    <w:rsid w:val="16087B1C"/>
    <w:rsid w:val="19241479"/>
    <w:rsid w:val="19C36DAA"/>
    <w:rsid w:val="1A5D684E"/>
    <w:rsid w:val="1ABE55EE"/>
    <w:rsid w:val="1D954D97"/>
    <w:rsid w:val="1EAA0123"/>
    <w:rsid w:val="258A3B5E"/>
    <w:rsid w:val="26D37114"/>
    <w:rsid w:val="2A012DF7"/>
    <w:rsid w:val="2CA06297"/>
    <w:rsid w:val="303D4E30"/>
    <w:rsid w:val="316E2FA4"/>
    <w:rsid w:val="34501612"/>
    <w:rsid w:val="34D4181B"/>
    <w:rsid w:val="3507028C"/>
    <w:rsid w:val="3595643A"/>
    <w:rsid w:val="38E01BC5"/>
    <w:rsid w:val="3BD30F22"/>
    <w:rsid w:val="3C512979"/>
    <w:rsid w:val="3CD42DDC"/>
    <w:rsid w:val="412E6FC3"/>
    <w:rsid w:val="429960CF"/>
    <w:rsid w:val="43101C04"/>
    <w:rsid w:val="45C76287"/>
    <w:rsid w:val="471D5503"/>
    <w:rsid w:val="492C0AE6"/>
    <w:rsid w:val="4A5B700A"/>
    <w:rsid w:val="4BA24971"/>
    <w:rsid w:val="4BCB4C3B"/>
    <w:rsid w:val="4DF57B76"/>
    <w:rsid w:val="4F03758C"/>
    <w:rsid w:val="519573DB"/>
    <w:rsid w:val="541C1C0A"/>
    <w:rsid w:val="55145A25"/>
    <w:rsid w:val="55383E38"/>
    <w:rsid w:val="5911172D"/>
    <w:rsid w:val="59870472"/>
    <w:rsid w:val="5E731884"/>
    <w:rsid w:val="5F8E5EC7"/>
    <w:rsid w:val="60BC4D39"/>
    <w:rsid w:val="63726413"/>
    <w:rsid w:val="63843D8B"/>
    <w:rsid w:val="67706CC4"/>
    <w:rsid w:val="678A783D"/>
    <w:rsid w:val="684E1765"/>
    <w:rsid w:val="685B7F7B"/>
    <w:rsid w:val="6C053E44"/>
    <w:rsid w:val="6CA86ED0"/>
    <w:rsid w:val="6D1F4710"/>
    <w:rsid w:val="6ECF0E88"/>
    <w:rsid w:val="724C7A91"/>
    <w:rsid w:val="725F7F78"/>
    <w:rsid w:val="72617A36"/>
    <w:rsid w:val="74412B3D"/>
    <w:rsid w:val="75C96B73"/>
    <w:rsid w:val="78682F61"/>
    <w:rsid w:val="7A470761"/>
    <w:rsid w:val="7C2F68B9"/>
    <w:rsid w:val="7C512D0B"/>
    <w:rsid w:val="7EB2342C"/>
    <w:rsid w:val="7FAD7976"/>
    <w:rsid w:val="7FBC7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qFormat="1" w:unhideWhenUsed="0" w:uiPriority="99" w:semiHidden="0" w:name="toc 1"/>
    <w:lsdException w:qFormat="1" w:unhideWhenUsed="0" w:uiPriority="99" w:semiHidden="0" w:name="toc 2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semiHidden="0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qFormat="1" w:uiPriority="99" w:semiHidden="0" w:name="footnote reference" w:locked="1"/>
    <w:lsdException w:uiPriority="99" w:name="annotation reference" w:locked="1"/>
    <w:lsdException w:uiPriority="99" w:name="line number" w:locked="1"/>
    <w:lsdException w:qFormat="1" w:uiPriority="99" w:semiHidden="0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semiHidden="0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sz w:val="18"/>
      <w:szCs w:val="18"/>
    </w:rPr>
  </w:style>
  <w:style w:type="paragraph" w:styleId="3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sz w:val="18"/>
      <w:szCs w:val="18"/>
    </w:rPr>
  </w:style>
  <w:style w:type="paragraph" w:styleId="4">
    <w:name w:val="toc 1"/>
    <w:basedOn w:val="1"/>
    <w:next w:val="1"/>
    <w:qFormat/>
    <w:uiPriority w:val="99"/>
    <w:rPr>
      <w:rFonts w:ascii="Times New Roman" w:hAnsi="Times New Roman" w:cs="Times New Roman"/>
      <w:szCs w:val="24"/>
    </w:rPr>
  </w:style>
  <w:style w:type="paragraph" w:styleId="5">
    <w:name w:val="footnote text"/>
    <w:basedOn w:val="1"/>
    <w:unhideWhenUsed/>
    <w:locked/>
    <w:uiPriority w:val="99"/>
    <w:pPr>
      <w:snapToGrid w:val="0"/>
      <w:jc w:val="left"/>
    </w:pPr>
    <w:rPr>
      <w:sz w:val="18"/>
      <w:szCs w:val="18"/>
    </w:rPr>
  </w:style>
  <w:style w:type="paragraph" w:styleId="6">
    <w:name w:val="toc 2"/>
    <w:basedOn w:val="1"/>
    <w:next w:val="1"/>
    <w:qFormat/>
    <w:uiPriority w:val="99"/>
    <w:pPr>
      <w:ind w:left="420" w:leftChars="200"/>
    </w:pPr>
    <w:rPr>
      <w:rFonts w:ascii="Times New Roman" w:hAnsi="Times New Roman" w:cs="Times New Roman"/>
      <w:szCs w:val="24"/>
    </w:rPr>
  </w:style>
  <w:style w:type="character" w:styleId="9">
    <w:name w:val="page number"/>
    <w:basedOn w:val="8"/>
    <w:unhideWhenUsed/>
    <w:qFormat/>
    <w:locked/>
    <w:uiPriority w:val="99"/>
  </w:style>
  <w:style w:type="character" w:styleId="10">
    <w:name w:val="footnote reference"/>
    <w:basedOn w:val="8"/>
    <w:unhideWhenUsed/>
    <w:qFormat/>
    <w:locked/>
    <w:uiPriority w:val="99"/>
    <w:rPr>
      <w:vertAlign w:val="superscript"/>
    </w:rPr>
  </w:style>
  <w:style w:type="character" w:customStyle="1" w:styleId="11">
    <w:name w:val="Footer Char"/>
    <w:basedOn w:val="8"/>
    <w:link w:val="2"/>
    <w:qFormat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Header Char"/>
    <w:basedOn w:val="8"/>
    <w:link w:val="3"/>
    <w:qFormat/>
    <w:locked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10</Pages>
  <Words>3497</Words>
  <Characters>3811</Characters>
  <Lines>0</Lines>
  <Paragraphs>0</Paragraphs>
  <TotalTime>0</TotalTime>
  <ScaleCrop>false</ScaleCrop>
  <LinksUpToDate>false</LinksUpToDate>
  <CharactersWithSpaces>3856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2017-01-20T01:29:00Z</dcterms:created>
  <dc:creator>guest</dc:creator>
  <cp:lastModifiedBy>漫天星斗</cp:lastModifiedBy>
  <cp:lastPrinted>2017-02-07T01:57:00Z</cp:lastPrinted>
  <dcterms:modified xsi:type="dcterms:W3CDTF">2025-09-28T06:11:14Z</dcterms:modified>
  <dc:title>河北省2017年部门预算信息公开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eyJoZGlkIjoiMzEwNmQ4OWJkZGExNWQ5NWM0MzJkOWZlYTU5MjE2MWQiLCJ1c2VySWQiOiIxMDA4Mzg1ODIzIn0=</vt:lpwstr>
  </property>
  <property fmtid="{D5CDD505-2E9C-101B-9397-08002B2CF9AE}" pid="4" name="ICV">
    <vt:lpwstr>E02CDBA7180B4F59904F46DDD6EFA0A3_12</vt:lpwstr>
  </property>
</Properties>
</file>