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深泽县农业农村局</w:t>
      </w:r>
    </w:p>
    <w:p>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按照《预算法》、《地方预决算公开操作规程》和《县级预算公开办法》规定，现将深泽县农业农村局2020年部门预算公开如下：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负责贯彻落实党和国家政府农业和农村工作的方针、政策及国家的法律、法规，研究拟订组织实施农业和农村经济发展战略、中长期发展规划，承担农业投资和农业综合开发、示范项目的规划、计划管理和监督实施。</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2、指导农业产业结构的合理调整、农业资源优化配置及农业行政执法体系建设和执法监督检查。</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3、组织实施农村沼气续建项目工程。</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4、组织实施全县种植产地农产品质量安全监测项目。</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5、组织实施农业新技术、新品种、高科技农业、效益农业项目试验示范，组织重大农业科研技术推广项目的遴选及实施。</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6、加强农业行政综合执法，组织实施种子、种苗、农药、肥料、农膜、农业设施等农业投入品质量监测、鉴定和执法监督检查。</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tbl>
      <w:tblPr>
        <w:tblStyle w:val="7"/>
        <w:tblW w:w="9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2"/>
        <w:gridCol w:w="1441"/>
        <w:gridCol w:w="1858"/>
        <w:gridCol w:w="387"/>
        <w:gridCol w:w="3009"/>
        <w:gridCol w:w="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23" w:type="dxa"/>
          <w:trHeight w:val="1046" w:hRule="atLeast"/>
          <w:tblHeader/>
          <w:jc w:val="center"/>
        </w:trPr>
        <w:tc>
          <w:tcPr>
            <w:tcW w:w="6008" w:type="dxa"/>
            <w:gridSpan w:val="4"/>
            <w:tcBorders>
              <w:top w:val="single" w:color="FFFFFF" w:sz="6" w:space="0"/>
              <w:left w:val="single" w:color="FFFFFF" w:sz="6" w:space="0"/>
              <w:right w:val="single" w:color="FFFFFF" w:sz="6" w:space="0"/>
            </w:tcBorders>
            <w:vAlign w:val="center"/>
          </w:tcPr>
          <w:p>
            <w:pPr>
              <w:spacing w:line="600" w:lineRule="exact"/>
              <w:jc w:val="center"/>
              <w:rPr>
                <w:rFonts w:ascii="仿宋_GB2312" w:hAnsi="仿宋_GB2312" w:eastAsia="仿宋_GB2312" w:cs="仿宋_GB2312"/>
                <w:b/>
                <w:bCs/>
                <w:sz w:val="32"/>
              </w:rPr>
            </w:pPr>
            <w:r>
              <w:rPr>
                <w:rFonts w:hint="eastAsia" w:ascii="仿宋_GB2312" w:hAnsi="仿宋_GB2312" w:eastAsia="仿宋_GB2312" w:cs="仿宋_GB2312"/>
                <w:b/>
                <w:bCs/>
                <w:sz w:val="32"/>
              </w:rPr>
              <w:t xml:space="preserve">                   部门机构设置情况</w:t>
            </w:r>
          </w:p>
          <w:p>
            <w:pPr>
              <w:spacing w:line="600" w:lineRule="exact"/>
              <w:jc w:val="center"/>
              <w:rPr>
                <w:rFonts w:ascii="仿宋_GB2312" w:hAnsi="仿宋_GB2312" w:eastAsia="仿宋_GB2312" w:cs="仿宋_GB2312"/>
                <w:b/>
                <w:bCs/>
                <w:sz w:val="24"/>
              </w:rPr>
            </w:pPr>
          </w:p>
        </w:tc>
        <w:tc>
          <w:tcPr>
            <w:tcW w:w="3009" w:type="dxa"/>
            <w:tcBorders>
              <w:top w:val="single" w:color="FFFFFF" w:sz="6" w:space="0"/>
              <w:left w:val="single" w:color="FFFFFF" w:sz="6" w:space="0"/>
              <w:right w:val="single" w:color="FFFFFF" w:sz="6" w:space="0"/>
            </w:tcBorders>
            <w:vAlign w:val="center"/>
          </w:tcPr>
          <w:p>
            <w:pPr>
              <w:spacing w:line="600" w:lineRule="exact"/>
              <w:jc w:val="center"/>
              <w:rPr>
                <w:rFonts w:ascii="仿宋_GB2312" w:hAnsi="仿宋_GB2312" w:eastAsia="仿宋_GB2312" w:cs="仿宋_GB2312"/>
                <w:b/>
                <w:bCs/>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2322" w:type="dxa"/>
            <w:vMerge w:val="restart"/>
            <w:vAlign w:val="center"/>
          </w:tcPr>
          <w:p>
            <w:pPr>
              <w:spacing w:line="6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单位名称</w:t>
            </w:r>
          </w:p>
        </w:tc>
        <w:tc>
          <w:tcPr>
            <w:tcW w:w="1441" w:type="dxa"/>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单位性质</w:t>
            </w:r>
          </w:p>
        </w:tc>
        <w:tc>
          <w:tcPr>
            <w:tcW w:w="1858" w:type="dxa"/>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单位规格</w:t>
            </w:r>
          </w:p>
        </w:tc>
        <w:tc>
          <w:tcPr>
            <w:tcW w:w="4219" w:type="dxa"/>
            <w:gridSpan w:val="3"/>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2322" w:type="dxa"/>
            <w:vMerge w:val="continue"/>
            <w:vAlign w:val="center"/>
          </w:tcPr>
          <w:p>
            <w:pPr>
              <w:spacing w:line="600" w:lineRule="exact"/>
              <w:jc w:val="center"/>
              <w:rPr>
                <w:rFonts w:ascii="仿宋_GB2312" w:hAnsi="仿宋_GB2312" w:eastAsia="仿宋_GB2312" w:cs="仿宋_GB2312"/>
                <w:szCs w:val="21"/>
              </w:rPr>
            </w:pPr>
          </w:p>
        </w:tc>
        <w:tc>
          <w:tcPr>
            <w:tcW w:w="1441" w:type="dxa"/>
            <w:vMerge w:val="continue"/>
            <w:vAlign w:val="center"/>
          </w:tcPr>
          <w:p>
            <w:pPr>
              <w:spacing w:line="600" w:lineRule="exact"/>
              <w:jc w:val="center"/>
              <w:rPr>
                <w:rFonts w:ascii="仿宋_GB2312" w:hAnsi="仿宋_GB2312" w:eastAsia="仿宋_GB2312" w:cs="仿宋_GB2312"/>
              </w:rPr>
            </w:pPr>
          </w:p>
        </w:tc>
        <w:tc>
          <w:tcPr>
            <w:tcW w:w="1858" w:type="dxa"/>
            <w:vMerge w:val="continue"/>
            <w:vAlign w:val="center"/>
          </w:tcPr>
          <w:p>
            <w:pPr>
              <w:spacing w:line="600" w:lineRule="exact"/>
              <w:jc w:val="center"/>
              <w:rPr>
                <w:rFonts w:ascii="仿宋_GB2312" w:hAnsi="仿宋_GB2312" w:eastAsia="仿宋_GB2312" w:cs="仿宋_GB2312"/>
              </w:rPr>
            </w:pPr>
          </w:p>
        </w:tc>
        <w:tc>
          <w:tcPr>
            <w:tcW w:w="4219" w:type="dxa"/>
            <w:gridSpan w:val="3"/>
            <w:vMerge w:val="continue"/>
            <w:vAlign w:val="center"/>
          </w:tcPr>
          <w:p>
            <w:pPr>
              <w:spacing w:line="600" w:lineRule="exact"/>
              <w:jc w:val="center"/>
              <w:rPr>
                <w:rFonts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22" w:type="dxa"/>
            <w:vAlign w:val="center"/>
          </w:tcPr>
          <w:p>
            <w:pPr>
              <w:spacing w:line="600" w:lineRule="exact"/>
              <w:jc w:val="center"/>
              <w:rPr>
                <w:rFonts w:ascii="仿宋_GB2312" w:hAnsi="仿宋_GB2312" w:eastAsia="仿宋_GB2312" w:cs="仿宋_GB2312"/>
                <w:b/>
                <w:szCs w:val="21"/>
              </w:rPr>
            </w:pPr>
            <w:r>
              <w:rPr>
                <w:rFonts w:hint="eastAsia" w:ascii="仿宋_GB2312" w:hAnsi="仿宋_GB2312" w:eastAsia="仿宋_GB2312" w:cs="仿宋_GB2312"/>
                <w:b/>
                <w:bCs/>
                <w:szCs w:val="21"/>
              </w:rPr>
              <w:t>深泽县农业农村局</w:t>
            </w:r>
          </w:p>
        </w:tc>
        <w:tc>
          <w:tcPr>
            <w:tcW w:w="1441" w:type="dxa"/>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行政</w:t>
            </w:r>
          </w:p>
        </w:tc>
        <w:tc>
          <w:tcPr>
            <w:tcW w:w="1858" w:type="dxa"/>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正科级</w:t>
            </w:r>
          </w:p>
        </w:tc>
        <w:tc>
          <w:tcPr>
            <w:tcW w:w="4219" w:type="dxa"/>
            <w:gridSpan w:val="3"/>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财政拨款</w:t>
            </w:r>
          </w:p>
        </w:tc>
      </w:tr>
    </w:tbl>
    <w:p>
      <w:pPr>
        <w:ind w:firstLine="643" w:firstLineChars="200"/>
        <w:rPr>
          <w:rFonts w:ascii="仿宋" w:hAnsi="仿宋" w:eastAsia="仿宋" w:cs="Times New Roman"/>
          <w:b/>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深泽县农业农村局</w:t>
      </w:r>
      <w:r>
        <w:rPr>
          <w:rFonts w:ascii="Times New Roman" w:hAnsi="Times New Roman" w:eastAsia="仿宋" w:cs="Times New Roman"/>
          <w:sz w:val="32"/>
          <w:szCs w:val="32"/>
        </w:rPr>
        <w:t>及所属事业单位的收支包含在部门预算中</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 6994.53万元，其中：一般公共预算收入 6994.53 万元，基金预算收入0万元，财政专户核拨收入0万元，其他来源收入0万元。</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收支预算总表支出栏、基本支出表、项目支出表按经济分类和支出功能分类科目编制，反映深泽县农业农村局年度部门预算中支出预算的总体情况。2020年部门支出预算为6994.53万元，其中基本支出 1121.62万元，包括人员经费 1034.6万元和日常公用经费87.02万元；项目支出 5872.91万元。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2020年部门预算收支安排6994.53万元，</w:t>
      </w:r>
      <w:r>
        <w:rPr>
          <w:rFonts w:hint="eastAsia" w:ascii="Times New Roman" w:hAnsi="Times New Roman" w:eastAsia="仿宋" w:cs="Times New Roman"/>
          <w:sz w:val="32"/>
          <w:szCs w:val="32"/>
        </w:rPr>
        <w:t>较2019年减少2463.15万元，其中：基本支出减少134.87万元，主要由于人员减少；项目支出减少2328.28万元，主要由于项目调整。</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2020年，我单位机关运行经费共计安排87.02万元，主要用于保证机关正常运转的办公费、邮电费、租赁费、工会经费、福利费、公务用车运行维护费、其他交通费用等。</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6.92万元，其中：因公出国（境）费0万元；公务用车购置及运维费6.92万元（其中：公务用车购置费0万元，公务用车运行维护费6.92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黑体" w:hAnsi="黑体" w:eastAsia="黑体"/>
          <w:sz w:val="32"/>
          <w:szCs w:val="32"/>
        </w:rPr>
      </w:pPr>
      <w:bookmarkStart w:id="0" w:name="_Toc471398463"/>
      <w:r>
        <w:rPr>
          <w:rFonts w:hint="eastAsia" w:ascii="黑体" w:hAnsi="黑体" w:eastAsia="黑体"/>
          <w:b/>
          <w:sz w:val="32"/>
          <w:szCs w:val="32"/>
        </w:rPr>
        <w:t>第一部分  部门整体绩效目标</w:t>
      </w:r>
    </w:p>
    <w:p>
      <w:pPr>
        <w:autoSpaceDE w:val="0"/>
        <w:autoSpaceDN w:val="0"/>
        <w:adjustRightInd w:val="0"/>
        <w:ind w:firstLine="643" w:firstLineChars="200"/>
        <w:jc w:val="left"/>
        <w:rPr>
          <w:rFonts w:ascii="黑体" w:hAnsi="黑体" w:eastAsia="黑体"/>
          <w:sz w:val="32"/>
          <w:szCs w:val="32"/>
        </w:rPr>
      </w:pPr>
      <w:r>
        <w:rPr>
          <w:rFonts w:hint="eastAsia" w:ascii="黑体" w:hAnsi="黑体" w:eastAsia="黑体"/>
          <w:b/>
          <w:sz w:val="32"/>
          <w:szCs w:val="32"/>
        </w:rPr>
        <w:t>（一）总体绩效目标</w:t>
      </w:r>
      <w:r>
        <w:rPr>
          <w:rFonts w:hint="eastAsia" w:ascii="黑体" w:hAnsi="黑体" w:eastAsia="黑体"/>
          <w:sz w:val="32"/>
          <w:szCs w:val="32"/>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以落实乡村振兴战略为主线，以改善人居环境、推进农村经济特别是种养殖业发展、提升农产品质量安全为重点，深入推进结构调整，改善农业供给侧，积极开展现代农业园区创建工作，认真开展重大动物疫病防控工作，扎实开展养殖业废弃物资源化利用，深入开展基层农技推广体系改革与建设补助项目试验示范基地工作，多层次开展高素质农民培训，切实抓好新型经营主体规范化建设和土地流转。扎实推进省级农产品质量安全县创建工作。</w:t>
      </w:r>
    </w:p>
    <w:p>
      <w:pPr>
        <w:autoSpaceDE w:val="0"/>
        <w:autoSpaceDN w:val="0"/>
        <w:adjustRightInd w:val="0"/>
        <w:ind w:firstLine="643" w:firstLineChars="200"/>
        <w:jc w:val="left"/>
        <w:rPr>
          <w:rFonts w:ascii="黑体" w:hAnsi="黑体" w:eastAsia="黑体"/>
          <w:b/>
          <w:sz w:val="32"/>
          <w:szCs w:val="32"/>
        </w:rPr>
      </w:pPr>
      <w:r>
        <w:rPr>
          <w:rFonts w:hint="eastAsia" w:ascii="黑体" w:hAnsi="黑体" w:eastAsia="黑体"/>
          <w:b/>
          <w:sz w:val="32"/>
          <w:szCs w:val="32"/>
        </w:rPr>
        <w:fldChar w:fldCharType="begin"/>
      </w:r>
      <w:r>
        <w:rPr>
          <w:rFonts w:hint="eastAsia" w:ascii="黑体" w:hAnsi="黑体" w:eastAsia="黑体"/>
          <w:b/>
          <w:sz w:val="32"/>
          <w:szCs w:val="32"/>
        </w:rPr>
        <w:instrText xml:space="preserve"> TC </w:instrText>
      </w:r>
      <w:bookmarkStart w:id="1" w:name="_Toc29484628"/>
      <w:r>
        <w:rPr>
          <w:rFonts w:hint="eastAsia" w:ascii="黑体" w:hAnsi="黑体" w:eastAsia="黑体"/>
          <w:b/>
          <w:sz w:val="32"/>
          <w:szCs w:val="32"/>
        </w:rPr>
        <w:instrText xml:space="preserve">总体绩效目标</w:instrText>
      </w:r>
      <w:bookmarkEnd w:id="1"/>
      <w:r>
        <w:rPr>
          <w:rFonts w:hint="eastAsia" w:ascii="黑体" w:hAnsi="黑体" w:eastAsia="黑体"/>
          <w:b/>
          <w:sz w:val="32"/>
          <w:szCs w:val="32"/>
        </w:rPr>
        <w:instrText xml:space="preserve"> \f A \l 1 </w:instrText>
      </w:r>
      <w:r>
        <w:rPr>
          <w:rFonts w:hint="eastAsia" w:ascii="黑体" w:hAnsi="黑体" w:eastAsia="黑体"/>
          <w:b/>
          <w:sz w:val="32"/>
          <w:szCs w:val="32"/>
        </w:rPr>
        <w:fldChar w:fldCharType="end"/>
      </w:r>
      <w:r>
        <w:rPr>
          <w:rFonts w:hint="eastAsia" w:ascii="黑体" w:hAnsi="黑体" w:eastAsia="黑体"/>
          <w:b/>
          <w:sz w:val="32"/>
          <w:szCs w:val="32"/>
        </w:rPr>
        <w:t>（二）分项绩效目标</w:t>
      </w:r>
    </w:p>
    <w:p>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扶持农产品生产</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对生产者采取直接补贴的办法，支持推广优良品种、先进适用种养技术，实施科学管理,提高农产品产量、质量，提高生产经营效益。通过对生产者直接补贴，调动其推广优良品种、使用先进种养技术的积极性和主动性，提高农产品产量、质量，提升生产经营效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绩效指标：亩单产增长率、高产稳产粮田达标率、主要农作物良种补贴覆盖率、蔬菜标准园创建完成率、优质青贮玉米种植量完成率。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2、支持农业产业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组织实施农业产业化经营的发展规划与政策，支持全县农业企业产业化加快发展。拉伸农业产业链条，提升农产品附加值，增加农民收入，创造县域经济发展新增长点。</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绩效指标：县级以上农业龙头企业带动农户数增幅、县级以上农业龙头企业销售收入增幅、农产品加工园区农业生产化补助到位率。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3、农业资源保护和生态建设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按照可持续发展和建设生态农业的要求，保护农业资源，改善和保护农村环境。建设生态农业，改善农村环境，实现农业可持续发展。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绩效指标：大气污染物减排完成率、全县开展土地污染修复效果实现情况、年度监测任务完成率。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4、农业科技支撑和公共服务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提高农业机械化水平，建立健全农业科技服务和防灾减灾体系，推动农业生产向现代农业发展。促进农业现代化，提高农业劳动生产率，增加农民收入。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绩效指标：深松面积目标完成率、农业园区农民收入高于当地平均水平幅度、现代农业园区建设完成情况、主要农作物良种覆盖率、主要农作物良种覆盖率、重大农产品质量安全事件发生率、农业信息社会发布任务完成率、完成年度基层农技人员知识更新培训任务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bCs/>
          <w:sz w:val="32"/>
          <w:szCs w:val="32"/>
        </w:rPr>
      </w:pPr>
      <w:r>
        <w:rPr>
          <w:rFonts w:hint="eastAsia" w:ascii="仿宋" w:hAnsi="仿宋" w:eastAsia="仿宋" w:cs="仿宋"/>
          <w:bCs/>
          <w:sz w:val="32"/>
          <w:szCs w:val="32"/>
        </w:rPr>
        <w:t>5、农业政务管理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bCs/>
          <w:sz w:val="32"/>
          <w:szCs w:val="32"/>
        </w:rPr>
        <w:t>绩效目标：</w:t>
      </w:r>
      <w:r>
        <w:rPr>
          <w:rFonts w:hint="eastAsia" w:ascii="仿宋" w:hAnsi="仿宋" w:eastAsia="仿宋" w:cs="仿宋"/>
          <w:sz w:val="32"/>
          <w:szCs w:val="32"/>
        </w:rPr>
        <w:t>开展农业宣传，推动农业政策落实。推动各项农业工作的开展。保障各项农业工作的正常运行。</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方正仿宋_GBK" w:cs="Times New Roman"/>
          <w:b/>
          <w:sz w:val="32"/>
          <w:szCs w:val="32"/>
        </w:rPr>
      </w:pPr>
      <w:r>
        <w:rPr>
          <w:rFonts w:hint="eastAsia" w:ascii="仿宋" w:hAnsi="仿宋" w:eastAsia="仿宋" w:cs="仿宋"/>
          <w:sz w:val="32"/>
          <w:szCs w:val="32"/>
        </w:rPr>
        <w:t>绩效指标：综合业务管理工作完成率、综合事务管理工作完成率。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firstLine="643" w:firstLineChars="200"/>
        <w:jc w:val="left"/>
        <w:rPr>
          <w:rFonts w:ascii="黑体" w:hAnsi="黑体" w:eastAsia="黑体"/>
          <w:b/>
          <w:sz w:val="32"/>
          <w:szCs w:val="32"/>
        </w:rPr>
      </w:pPr>
      <w:r>
        <w:rPr>
          <w:rFonts w:hint="eastAsia" w:ascii="黑体" w:hAnsi="黑体" w:eastAsia="黑体"/>
          <w:b/>
          <w:sz w:val="32"/>
          <w:szCs w:val="32"/>
        </w:rPr>
        <w:t>（三）工作保障措施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实现年度发展规划目标的保障措施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全面落实党的十八大、</w:t>
      </w:r>
      <w:r>
        <w:rPr>
          <w:rFonts w:hint="eastAsia" w:ascii="仿宋" w:hAnsi="仿宋" w:eastAsia="仿宋" w:cs="仿宋"/>
          <w:sz w:val="32"/>
          <w:szCs w:val="32"/>
          <w:lang w:val="en-US" w:eastAsia="zh-CN"/>
        </w:rPr>
        <w:t>党的</w:t>
      </w:r>
      <w:r>
        <w:rPr>
          <w:rFonts w:hint="eastAsia" w:ascii="仿宋" w:hAnsi="仿宋" w:eastAsia="仿宋" w:cs="仿宋"/>
          <w:sz w:val="32"/>
          <w:szCs w:val="32"/>
        </w:rPr>
        <w:t>十九大</w:t>
      </w:r>
      <w:bookmarkStart w:id="9" w:name="_GoBack"/>
      <w:bookmarkEnd w:id="9"/>
      <w:r>
        <w:rPr>
          <w:rFonts w:hint="eastAsia" w:ascii="仿宋" w:hAnsi="仿宋" w:eastAsia="仿宋" w:cs="仿宋"/>
          <w:sz w:val="32"/>
          <w:szCs w:val="32"/>
        </w:rPr>
        <w:t>精神，不忘初心</w:t>
      </w:r>
      <w:r>
        <w:rPr>
          <w:rFonts w:hint="eastAsia" w:ascii="仿宋" w:hAnsi="仿宋" w:eastAsia="仿宋" w:cs="仿宋"/>
          <w:sz w:val="32"/>
          <w:szCs w:val="32"/>
          <w:lang w:eastAsia="zh-CN"/>
        </w:rPr>
        <w:t>、</w:t>
      </w:r>
      <w:r>
        <w:rPr>
          <w:rFonts w:hint="eastAsia" w:ascii="仿宋" w:hAnsi="仿宋" w:eastAsia="仿宋" w:cs="仿宋"/>
          <w:sz w:val="32"/>
          <w:szCs w:val="32"/>
        </w:rPr>
        <w:t>牢记使命，以科学发展观为指导，深入践行党的群众路线，强化四个意识，服务大局，开括创新，依法行政，努力开创农经新局面。为了完成目标要求，我局努力做好以下几方面：</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1、加强自身能力建设，提高服务水平，改进工作作风，提升干部队伍素质，切实增强大局意识、责任意识、执行意识、服务意识和优惠意识，不断增强农经的凝聚力和战斗力。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2、加强制度建设，形成以制度管人，按制度办事的运行格局，切实抓好相关制度的贯彻落实。</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3、完善协调配合机制，提升综合管理水平。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4、全局人员分工负责，协同作战。要求对工作认真负责，不辞辛苦。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cs="仿宋"/>
          <w:sz w:val="32"/>
          <w:szCs w:val="32"/>
        </w:rPr>
        <w:t>5、个人服从组织，数量服从质量.</w:t>
      </w:r>
    </w:p>
    <w:p>
      <w:pPr>
        <w:autoSpaceDE w:val="0"/>
        <w:autoSpaceDN w:val="0"/>
        <w:adjustRightInd w:val="0"/>
        <w:ind w:left="198" w:firstLine="640" w:firstLineChars="200"/>
        <w:jc w:val="left"/>
      </w:pPr>
      <w:r>
        <w:rPr>
          <w:rFonts w:hint="eastAsia" w:ascii="Times New Roman" w:hAnsi="Times New Roman" w:eastAsia="方正仿宋_GBK" w:cs="Times New Roman"/>
          <w:b/>
          <w:sz w:val="32"/>
          <w:szCs w:val="32"/>
        </w:rPr>
        <w:t>第二部分  预算项目绩效目标</w:t>
      </w:r>
      <w:r>
        <w:rPr>
          <w:rFonts w:hint="eastAsia" w:ascii="方正仿宋_GBK" w:eastAsia="方正仿宋_GBK"/>
          <w:b/>
          <w:sz w:val="28"/>
        </w:rPr>
        <w:t xml:space="preserve"> </w:t>
      </w:r>
      <w:bookmarkEnd w:id="0"/>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1、2020年全县三员人员经费绩效目标表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3" w:name="_Toc33109248"/>
      <w:r>
        <w:rPr>
          <w:rFonts w:hint="eastAsia" w:ascii="方正仿宋_GBK" w:hAnsi="Times New Roman" w:eastAsia="方正仿宋_GBK" w:cs="Times New Roman"/>
          <w:b/>
          <w:sz w:val="28"/>
          <w:szCs w:val="24"/>
        </w:rPr>
        <w:instrText xml:space="preserve">1、2020年全县三员人员经费绩效目标表</w:instrText>
      </w:r>
      <w:bookmarkEnd w:id="3"/>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、全县三员补助发放及时</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、全县三员补助发放到位</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全县三员补助发放及时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2、办公楼维修质保金绩效目标表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4" w:name="_Toc33109249"/>
      <w:r>
        <w:rPr>
          <w:rFonts w:hint="eastAsia" w:ascii="方正仿宋_GBK" w:hAnsi="Times New Roman" w:eastAsia="方正仿宋_GBK" w:cs="Times New Roman"/>
          <w:b/>
          <w:sz w:val="28"/>
          <w:szCs w:val="24"/>
        </w:rPr>
        <w:instrText xml:space="preserve">2、办公楼维修质保金绩效目标表</w:instrText>
      </w:r>
      <w:bookmarkEnd w:id="4"/>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、办公楼维修质量合格</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、办公楼维修零质量问题</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办公楼所有房间、设施全部合格</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办公楼维修质量合格</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办公环境得到有效改善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办公场所充足、舒适</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3、病死动物无害化全覆盖补助资金绩效目标表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5" w:name="_Toc33109250"/>
      <w:r>
        <w:rPr>
          <w:rFonts w:hint="eastAsia" w:ascii="方正仿宋_GBK" w:hAnsi="Times New Roman" w:eastAsia="方正仿宋_GBK" w:cs="Times New Roman"/>
          <w:b/>
          <w:sz w:val="28"/>
          <w:szCs w:val="24"/>
        </w:rPr>
        <w:instrText xml:space="preserve">3、病死动物无害化全覆盖补助资金绩效目标表</w:instrText>
      </w:r>
      <w:bookmarkEnd w:id="5"/>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、病死动物无害化全覆盖补助资金</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及时足额发放病死畜禽集中无害化处理补助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及时足额发放病死畜禽集中无害化处理补助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改善病死动物造成环境污染情况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4、厕所改造工作经费绩效目标表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6" w:name="_Toc33109251"/>
      <w:r>
        <w:rPr>
          <w:rFonts w:hint="eastAsia" w:ascii="方正仿宋_GBK" w:hAnsi="Times New Roman" w:eastAsia="方正仿宋_GBK" w:cs="Times New Roman"/>
          <w:b/>
          <w:sz w:val="28"/>
          <w:szCs w:val="24"/>
        </w:rPr>
        <w:instrText xml:space="preserve">4、厕所改造工作经费绩效目标表</w:instrText>
      </w:r>
      <w:bookmarkEnd w:id="6"/>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、全县改厕顺利推进</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、改造提升厕所顺利推进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w:t>
            </w:r>
            <w:r>
              <w:rPr>
                <w:rFonts w:hint="eastAsia" w:ascii="方正书宋_GBK" w:hAnsi="Times New Roman" w:eastAsia="方正书宋_GBK" w:cs="Times New Roman"/>
                <w:szCs w:val="24"/>
              </w:rPr>
              <w:t>年改厕全部验收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w:t>
            </w:r>
            <w:r>
              <w:rPr>
                <w:rFonts w:hint="eastAsia" w:ascii="方正书宋_GBK" w:hAnsi="Times New Roman" w:eastAsia="方正书宋_GBK" w:cs="Times New Roman"/>
                <w:szCs w:val="24"/>
              </w:rPr>
              <w:t>年改厕全部验收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环境得到明显改善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环境得到明显改善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5、产权制度改革、乡村振兴等工作经费绩效目标表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7" w:name="_Toc33109252"/>
      <w:r>
        <w:rPr>
          <w:rFonts w:hint="eastAsia" w:ascii="方正仿宋_GBK" w:hAnsi="Times New Roman" w:eastAsia="方正仿宋_GBK" w:cs="Times New Roman"/>
          <w:b/>
          <w:sz w:val="28"/>
          <w:szCs w:val="24"/>
        </w:rPr>
        <w:instrText xml:space="preserve">5、产权制度改革、乡村振兴等工作经费绩效目标表</w:instrText>
      </w:r>
      <w:bookmarkEnd w:id="7"/>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、产权制度改革工作顺利推进</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、乡村振兴工作顺利推进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产权制度改革工作顺利推进</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乡村振兴工作顺利推进</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产权制度改革工作顺利推进</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乡村振兴工作顺利推进</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6、村级农业技术员补助资金绩效目标表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6、村级农业技术员补助资金绩效目标表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、村级农技员补贴资金</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村农技员补贴</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及时发放村农技员补贴</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及时发放村农技员补贴</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7、动物强制免疫经费绩效目标表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7、动物强制免疫经费绩效目标表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、确保春防秋防工作顺利开展</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、确保春防秋防达到实效</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全部防疫到位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全部防疫到位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全县动物无疫情</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全县养殖环境安全可靠</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8、冀财农[2019]146号提前下达2020年中央农田建设补助资金绩效目标表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8、冀财农[2019]146号提前下达2020年中央农田建设补助资金绩效目标表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4000</w:t>
            </w:r>
            <w:r>
              <w:rPr>
                <w:rFonts w:hint="eastAsia" w:ascii="方正书宋_GBK" w:hAnsi="Times New Roman" w:eastAsia="方正书宋_GBK" w:cs="Times New Roman"/>
                <w:szCs w:val="24"/>
              </w:rPr>
              <w:t>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田间道路</w:t>
            </w:r>
            <w:r>
              <w:rPr>
                <w:rFonts w:ascii="方正书宋_GBK" w:hAnsi="Times New Roman" w:eastAsia="方正书宋_GBK" w:cs="Times New Roman"/>
                <w:szCs w:val="24"/>
              </w:rPr>
              <w:t>5</w:t>
            </w:r>
            <w:r>
              <w:rPr>
                <w:rFonts w:hint="eastAsia" w:ascii="方正书宋_GBK" w:hAnsi="Times New Roman" w:eastAsia="方正书宋_GBK" w:cs="Times New Roman"/>
                <w:szCs w:val="24"/>
              </w:rPr>
              <w:t>公里</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9、冀财农[2019]151号提前下达2020年中央农业生产发展资金绩效目标表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9、冀财农[2019]151号提前下达2020年中央农业生产发展资金绩效目标表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补贴机具数</w:t>
            </w:r>
            <w:r>
              <w:rPr>
                <w:rFonts w:ascii="方正书宋_GBK" w:hAnsi="Times New Roman" w:eastAsia="方正书宋_GBK" w:cs="Times New Roman"/>
                <w:szCs w:val="24"/>
              </w:rPr>
              <w:t>165</w:t>
            </w:r>
            <w:r>
              <w:rPr>
                <w:rFonts w:hint="eastAsia" w:ascii="方正书宋_GBK" w:hAnsi="Times New Roman" w:eastAsia="方正书宋_GBK" w:cs="Times New Roman"/>
                <w:szCs w:val="24"/>
              </w:rPr>
              <w:t>台</w:t>
            </w:r>
            <w:r>
              <w:rPr>
                <w:rFonts w:ascii="方正书宋_GBK" w:hAnsi="Times New Roman" w:eastAsia="方正书宋_GBK" w:cs="Times New Roman"/>
                <w:szCs w:val="24"/>
              </w:rPr>
              <w:t>/</w:t>
            </w:r>
            <w:r>
              <w:rPr>
                <w:rFonts w:hint="eastAsia" w:ascii="方正书宋_GBK" w:hAnsi="Times New Roman" w:eastAsia="方正书宋_GBK" w:cs="Times New Roman"/>
                <w:szCs w:val="24"/>
              </w:rPr>
              <w:t>套，农机补贴年度资金登记率超过</w:t>
            </w:r>
            <w:r>
              <w:rPr>
                <w:rFonts w:ascii="方正书宋_GBK" w:hAnsi="Times New Roman" w:eastAsia="方正书宋_GBK" w:cs="Times New Roman"/>
                <w:szCs w:val="24"/>
              </w:rPr>
              <w:t>95%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受益农户</w:t>
            </w:r>
            <w:r>
              <w:rPr>
                <w:rFonts w:ascii="方正书宋_GBK" w:hAnsi="Times New Roman" w:eastAsia="方正书宋_GBK" w:cs="Times New Roman"/>
                <w:szCs w:val="24"/>
              </w:rPr>
              <w:t>115</w:t>
            </w:r>
            <w:r>
              <w:rPr>
                <w:rFonts w:hint="eastAsia" w:ascii="方正书宋_GBK" w:hAnsi="Times New Roman" w:eastAsia="方正书宋_GBK" w:cs="Times New Roman"/>
                <w:szCs w:val="24"/>
              </w:rPr>
              <w:t>，培训高素质农民</w:t>
            </w:r>
            <w:r>
              <w:rPr>
                <w:rFonts w:ascii="方正书宋_GBK" w:hAnsi="Times New Roman" w:eastAsia="方正书宋_GBK" w:cs="Times New Roman"/>
                <w:szCs w:val="24"/>
              </w:rPr>
              <w:t>240</w:t>
            </w:r>
            <w:r>
              <w:rPr>
                <w:rFonts w:hint="eastAsia" w:ascii="方正书宋_GBK" w:hAnsi="Times New Roman" w:eastAsia="方正书宋_GBK" w:cs="Times New Roman"/>
                <w:szCs w:val="24"/>
              </w:rPr>
              <w:t>人，学员满意度超过</w:t>
            </w:r>
            <w:r>
              <w:rPr>
                <w:rFonts w:ascii="方正书宋_GBK" w:hAnsi="Times New Roman" w:eastAsia="方正书宋_GBK" w:cs="Times New Roman"/>
                <w:szCs w:val="24"/>
              </w:rPr>
              <w:t>85%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农技推广服务效能明显提升，农业主推技术到位率不低于</w:t>
            </w:r>
            <w:r>
              <w:rPr>
                <w:rFonts w:ascii="方正书宋_GBK" w:hAnsi="Times New Roman" w:eastAsia="方正书宋_GBK" w:cs="Times New Roman"/>
                <w:szCs w:val="24"/>
              </w:rPr>
              <w:t>95%</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10、冀财农[2019]155号提前下达2020年土地指标跨省域（支持农村“厕所革命”整村推进财政奖补）绩效目标表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10、冀财农[2019]155号提前下达2020年土地指标跨省域（支持农村\“厕所革命\”整村推进财政奖补）绩效目标表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、粪液资源化利用中心建设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、卫生厕所智能化长效管护平台建设</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w:t>
            </w:r>
            <w:r>
              <w:rPr>
                <w:rFonts w:ascii="方正书宋_GBK" w:hAnsi="Times New Roman" w:eastAsia="方正书宋_GBK" w:cs="Times New Roman"/>
                <w:szCs w:val="24"/>
              </w:rPr>
              <w:t>/</w:t>
            </w:r>
            <w:r>
              <w:rPr>
                <w:rFonts w:hint="eastAsia" w:ascii="方正书宋_GBK" w:hAnsi="Times New Roman" w:eastAsia="方正书宋_GBK" w:cs="Times New Roman"/>
                <w:szCs w:val="24"/>
              </w:rPr>
              <w:t>智能平台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完成建设</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粪液资源化利用中心、智能平台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r>
              <w:rPr>
                <w:rFonts w:ascii="方正书宋_GBK" w:hAnsi="Times New Roman" w:eastAsia="方正书宋_GBK" w:cs="Times New Roman"/>
                <w:szCs w:val="24"/>
              </w:rPr>
              <w:t>220</w:t>
            </w:r>
            <w:r>
              <w:rPr>
                <w:rFonts w:hint="eastAsia" w:ascii="方正书宋_GBK" w:hAnsi="Times New Roman" w:eastAsia="方正书宋_GBK" w:cs="Times New Roman"/>
                <w:szCs w:val="24"/>
              </w:rPr>
              <w:t>万元</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完成投资</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粪液资源化利用减少污染</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处理率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粪液处理情况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粪液得到处理，人居环境明显改善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服务对象满意度调查</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11、冀财农[2019]156号提前下达2020年中央动物防疫补助经费绩效目标表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11、冀财农[2019]156号提前下达2020年中央动物防疫补助经费绩效目标表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、强制免疫病种应免畜禽的免疫密度达到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、除布病外其他强制免疫种的平均免疫抗体合格率达到</w:t>
            </w:r>
            <w:r>
              <w:rPr>
                <w:rFonts w:ascii="方正书宋_GBK" w:hAnsi="Times New Roman" w:eastAsia="方正书宋_GBK" w:cs="Times New Roman"/>
                <w:szCs w:val="24"/>
              </w:rPr>
              <w:t>70%</w:t>
            </w:r>
            <w:r>
              <w:rPr>
                <w:rFonts w:hint="eastAsia" w:ascii="方正书宋_GBK" w:hAnsi="Times New Roman" w:eastAsia="方正书宋_GBK" w:cs="Times New Roman"/>
                <w:szCs w:val="24"/>
              </w:rPr>
              <w:t>以上</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疫情保持平稳</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未发生重大动物疫情</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群众对当年农村公益电影放映的整体满意度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12、冀财农[2019]163号提前下达2020年省级农田建设补助资金（地方政府债券）绩效目标表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12、冀财农[2019]163号提前下达2020年省级农田建设补助资金（地方政府债券）绩效目标表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326002</w:t>
            </w:r>
            <w:r>
              <w:rPr>
                <w:rFonts w:hint="eastAsia" w:ascii="方正书宋_GBK" w:hAnsi="Times New Roman" w:eastAsia="方正书宋_GBK" w:cs="Times New Roman"/>
                <w:b/>
                <w:szCs w:val="24"/>
              </w:rPr>
              <w:t>深泽县农业农村局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2"/>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、建设高标准农田</w:t>
            </w: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、植树</w:t>
            </w:r>
            <w:r>
              <w:rPr>
                <w:rFonts w:ascii="方正书宋_GBK" w:hAnsi="Times New Roman" w:eastAsia="方正书宋_GBK" w:cs="Times New Roman"/>
                <w:szCs w:val="24"/>
              </w:rPr>
              <w:t>3000</w:t>
            </w:r>
            <w:r>
              <w:rPr>
                <w:rFonts w:hint="eastAsia" w:ascii="方正书宋_GBK" w:hAnsi="Times New Roman" w:eastAsia="方正书宋_GBK" w:cs="Times New Roman"/>
                <w:szCs w:val="24"/>
              </w:rPr>
              <w:t>株</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高标准农田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1000</w:t>
            </w:r>
            <w:r>
              <w:rPr>
                <w:rFonts w:hint="eastAsia" w:ascii="方正书宋_GBK" w:hAnsi="Times New Roman" w:eastAsia="方正书宋_GBK" w:cs="Times New Roman"/>
                <w:szCs w:val="24"/>
              </w:rPr>
              <w:t>亩</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亩均增产</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50</w:t>
            </w:r>
            <w:r>
              <w:rPr>
                <w:rFonts w:hint="eastAsia" w:ascii="方正书宋_GBK" w:hAnsi="Times New Roman" w:eastAsia="方正书宋_GBK" w:cs="Times New Roman"/>
                <w:szCs w:val="24"/>
              </w:rPr>
              <w:t>公斤</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50</w:t>
            </w:r>
            <w:r>
              <w:rPr>
                <w:rFonts w:hint="eastAsia" w:ascii="方正书宋_GBK" w:hAnsi="Times New Roman" w:eastAsia="方正书宋_GBK" w:cs="Times New Roman"/>
                <w:szCs w:val="24"/>
              </w:rPr>
              <w:t>公斤</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13、冀财农[2019]165号提前下达2020年省级农产品质量安全及疫病防治资金绩效目标表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13、冀财农[2019]165号提前下达2020年省级农产品质量安全及疫病防治资金绩效目标表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、强制免疫病种应免畜禽的免疫密度达到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、除布病外其他强制免疫种的平均免疫抗体合格率达到</w:t>
            </w:r>
            <w:r>
              <w:rPr>
                <w:rFonts w:ascii="方正书宋_GBK" w:hAnsi="Times New Roman" w:eastAsia="方正书宋_GBK" w:cs="Times New Roman"/>
                <w:szCs w:val="24"/>
              </w:rPr>
              <w:t>70%</w:t>
            </w:r>
            <w:r>
              <w:rPr>
                <w:rFonts w:hint="eastAsia" w:ascii="方正书宋_GBK" w:hAnsi="Times New Roman" w:eastAsia="方正书宋_GBK" w:cs="Times New Roman"/>
                <w:szCs w:val="24"/>
              </w:rPr>
              <w:t>以上</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免疫质量和免疫效果</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平均抗体合格率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70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疫情保持平稳</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未发生重大动物疫情</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群众对当年农村公益电影放映的整体满意度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冀财农</w:t>
            </w:r>
            <w:r>
              <w:rPr>
                <w:rFonts w:ascii="方正书宋_GBK" w:hAnsi="Times New Roman" w:eastAsia="方正书宋_GBK" w:cs="Times New Roman"/>
                <w:szCs w:val="24"/>
              </w:rPr>
              <w:t>[2019]156</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14、冀财农[2019]166号提前下达2020年省级农业科技成果转化及推广（小麦节水品种推广与旱作雨养）绩效目标表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14、冀财农[2019]166号提前下达2020年省级农业科技成果转化及推广（小麦节水品种推广与旱作雨养）绩效目标表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2"/>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、推广节水小麦品种及配套技术，每亩减少浇水</w:t>
            </w:r>
            <w:r>
              <w:rPr>
                <w:rFonts w:ascii="方正书宋_GBK" w:hAnsi="Times New Roman" w:eastAsia="方正书宋_GBK" w:cs="Times New Roman"/>
                <w:szCs w:val="24"/>
              </w:rPr>
              <w:t>1-2</w:t>
            </w:r>
            <w:r>
              <w:rPr>
                <w:rFonts w:hint="eastAsia" w:ascii="方正书宋_GBK" w:hAnsi="Times New Roman" w:eastAsia="方正书宋_GBK" w:cs="Times New Roman"/>
                <w:szCs w:val="24"/>
              </w:rPr>
              <w:t>次，每亩节水</w:t>
            </w:r>
            <w:r>
              <w:rPr>
                <w:rFonts w:ascii="方正书宋_GBK" w:hAnsi="Times New Roman" w:eastAsia="方正书宋_GBK" w:cs="Times New Roman"/>
                <w:szCs w:val="24"/>
              </w:rPr>
              <w:t>40-50</w:t>
            </w:r>
            <w:r>
              <w:rPr>
                <w:rFonts w:hint="eastAsia" w:ascii="方正书宋_GBK" w:hAnsi="Times New Roman" w:eastAsia="方正书宋_GBK" w:cs="Times New Roman"/>
                <w:szCs w:val="24"/>
              </w:rPr>
              <w:t>方</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每亩节水</w:t>
            </w:r>
            <w:r>
              <w:rPr>
                <w:rFonts w:ascii="方正书宋_GBK" w:hAnsi="Times New Roman" w:eastAsia="方正书宋_GBK" w:cs="Times New Roman"/>
                <w:szCs w:val="24"/>
              </w:rPr>
              <w:t>40-50</w:t>
            </w:r>
            <w:r>
              <w:rPr>
                <w:rFonts w:hint="eastAsia" w:ascii="方正书宋_GBK" w:hAnsi="Times New Roman" w:eastAsia="方正书宋_GBK" w:cs="Times New Roman"/>
                <w:szCs w:val="24"/>
              </w:rPr>
              <w:t>方</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减少地下水开采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15、冀财农[2019]168号提前下达2020年省级农业生产发展资金绩效目标表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15、冀财农[2019]168号提前下达2020年省级农业生产发展资金绩效目标表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、在农哈哈实施</w:t>
            </w:r>
            <w:r>
              <w:rPr>
                <w:rFonts w:ascii="方正书宋_GBK" w:hAnsi="Times New Roman" w:eastAsia="方正书宋_GBK" w:cs="Times New Roman"/>
                <w:szCs w:val="24"/>
              </w:rPr>
              <w:t>4QZ-20</w:t>
            </w:r>
            <w:r>
              <w:rPr>
                <w:rFonts w:hint="eastAsia" w:ascii="方正书宋_GBK" w:hAnsi="Times New Roman" w:eastAsia="方正书宋_GBK" w:cs="Times New Roman"/>
                <w:szCs w:val="24"/>
              </w:rPr>
              <w:t>型青饲料收获机的研制项目</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完成深松作业面积</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万亩</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16、冀财农[2019]174号提前下达2020年省级乡村振兴（农村人居环境整治）专项资金绩效目标表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16、冀财农[2019]174号提前下达2020年省级乡村振兴（农村人居环境整治）专项资金绩效目标表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、建设垃圾中转站</w:t>
            </w: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、道路硬化</w:t>
            </w:r>
            <w:r>
              <w:rPr>
                <w:rFonts w:ascii="方正书宋_GBK" w:hAnsi="Times New Roman" w:eastAsia="方正书宋_GBK" w:cs="Times New Roman"/>
                <w:szCs w:val="24"/>
              </w:rPr>
              <w:t>30079</w:t>
            </w:r>
            <w:r>
              <w:rPr>
                <w:rFonts w:hint="eastAsia" w:ascii="方正书宋_GBK" w:hAnsi="Times New Roman" w:eastAsia="方正书宋_GBK" w:cs="Times New Roman"/>
                <w:szCs w:val="24"/>
              </w:rPr>
              <w:t>平方米</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建设垃圾中转站</w:t>
            </w: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农村生活垃圾得到治理</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5</w:t>
            </w:r>
            <w:r>
              <w:rPr>
                <w:rFonts w:hint="eastAsia" w:ascii="方正书宋_GBK" w:hAnsi="Times New Roman" w:eastAsia="方正书宋_GBK" w:cs="Times New Roman"/>
                <w:szCs w:val="24"/>
              </w:rPr>
              <w:t>个</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群众评价好</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群众调查</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群众调查</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17、美丽乡村建设绩效目标表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17、美丽乡村建设绩效目标表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、偿还利息</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18、美丽乡村建设工程项目（还本金、利息）绩效目标表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18、美丽乡村建设工程项目（还本金、利息）绩效目标表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、偿还本金</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、偿还利息</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偿还本金，偿还利息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19、农产品质量安全监管资金绩效目标表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19、农产品质量安全监管资金绩效目标表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、农产品质量安全监管资金</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、农产品质量安全监管资金</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提高农产品质量安全</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保障农产品质量安全</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20、农产品质量安全县创建经费绩效目标表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20、农产品质量安全县创建经费绩效目标表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、农产品质量安全监管到位</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、农产品质量监测到位</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农产品质量监测到位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农产品质量安全监管到位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农产品质量监测到位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农产品质量安全监管到位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98</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21、农村集体产权制度改革专项资金绩效目标表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21、农村集体产权制度改革专项资金绩效目标表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个改革村全部完成改革任务</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、群众满意度达到</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农村集体产权制度改革完成率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全部完成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保持集体经济持续发展</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持续增加集体经济</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持续增加集体经济</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以上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22、农发事业费绩效目标表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22、农发事业费绩效目标表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w:t>
            </w:r>
            <w:r>
              <w:rPr>
                <w:rFonts w:ascii="方正书宋_GBK" w:hAnsi="Times New Roman" w:eastAsia="方正书宋_GBK" w:cs="Times New Roman"/>
                <w:szCs w:val="24"/>
              </w:rPr>
              <w:t>5000</w:t>
            </w:r>
            <w:r>
              <w:rPr>
                <w:rFonts w:hint="eastAsia" w:ascii="方正书宋_GBK" w:hAnsi="Times New Roman" w:eastAsia="方正书宋_GBK" w:cs="Times New Roman"/>
                <w:szCs w:val="24"/>
              </w:rPr>
              <w:t>亩高标准农田建设任务</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23、农业发展资金绩效目标表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23、农业发展资金绩效目标表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、农业生产发展成绩显著</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、农业生产发展稳步上升</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农业生产发展稳步上升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农业生产发展成绩显著</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人民收入稳中有升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人均收入稳步提高</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24、人居环境整治工作经费绩效目标表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24、人居环境整治工作经费绩效目标表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、全县农村环境整治</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、督导全县人居环境各项工作</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全县人居环境整治</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全县人居环境整治</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农村居住环境干净整洁</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农村居住环境干净整洁</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25、突发非洲猪瘟疫情经费绩效目标表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25、突发非洲猪瘟疫情经费绩效目标表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、确保疫情消灭在萌芽状态</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、确保疫情不蔓延</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确保疫情消灭在萌芽状态</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确保疫情不蔓延</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养殖户收入稳定</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养殖环境安全可靠</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26、突发重大动物疫情经费绩效目标表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26、突发重大动物疫情经费绩效目标表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、疫情消灭在萌芽状态</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、疫情不扩展</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全年无疫情</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疫情消灭在萌芽状态</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养殖户收入稳定</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养殖环境安全可靠</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27、土地确权测绘公司质保金绩效目标表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27、土地确权测绘公司质保金绩效目标表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、土地确权工作全面完成</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、土地确权工作不出现问题</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土地确权工作全部完成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28、无害化卫生厕所改造项目绩效目标表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28、无害化卫生厕所改造项目绩效目标表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、粪液资源化利用中心建设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、卫生厕所智能化长效管护平台建设</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w:t>
            </w:r>
            <w:r>
              <w:rPr>
                <w:rFonts w:ascii="方正书宋_GBK" w:hAnsi="Times New Roman" w:eastAsia="方正书宋_GBK" w:cs="Times New Roman"/>
                <w:szCs w:val="24"/>
              </w:rPr>
              <w:t>/</w:t>
            </w:r>
            <w:r>
              <w:rPr>
                <w:rFonts w:hint="eastAsia" w:ascii="方正书宋_GBK" w:hAnsi="Times New Roman" w:eastAsia="方正书宋_GBK" w:cs="Times New Roman"/>
                <w:szCs w:val="24"/>
              </w:rPr>
              <w:t>智能平台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完成建设</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粪液资源化利用中心、智能平台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正常运行</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投资</w:t>
            </w:r>
            <w:r>
              <w:rPr>
                <w:rFonts w:ascii="方正书宋_GBK" w:hAnsi="Times New Roman" w:eastAsia="方正书宋_GBK" w:cs="Times New Roman"/>
                <w:szCs w:val="24"/>
              </w:rPr>
              <w:t>220</w:t>
            </w:r>
            <w:r>
              <w:rPr>
                <w:rFonts w:hint="eastAsia" w:ascii="方正书宋_GBK" w:hAnsi="Times New Roman" w:eastAsia="方正书宋_GBK" w:cs="Times New Roman"/>
                <w:szCs w:val="24"/>
              </w:rPr>
              <w:t>万元</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完成投资</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粪液资源化利用减少污染</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处理率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粪液处理情况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粪液无害化处理</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粪液得到处理，人居环境明显改善</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人居环境改善</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29、畜禽粪污资源化利用资金绩效目标表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29、畜禽粪污资源化利用资金绩效目标表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、深泽县金泽养殖有限公司、深泽县宝丰种鸡场畜禽粪污资源化利用项目</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、深泽县鑫英奶牛养殖专业合作社、深泽县圣烨养殖场畜禽粪污资源化利用项目</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建设贮粪池</w:t>
            </w:r>
            <w:r>
              <w:rPr>
                <w:rFonts w:ascii="方正书宋_GBK" w:hAnsi="Times New Roman" w:eastAsia="方正书宋_GBK" w:cs="Times New Roman"/>
                <w:szCs w:val="24"/>
              </w:rPr>
              <w:t>200</w:t>
            </w:r>
            <w:r>
              <w:rPr>
                <w:rFonts w:hint="eastAsia" w:ascii="方正书宋_GBK" w:hAnsi="Times New Roman" w:eastAsia="方正书宋_GBK" w:cs="Times New Roman"/>
                <w:szCs w:val="24"/>
              </w:rPr>
              <w:t>立方米，污水沉淀池</w:t>
            </w:r>
            <w:r>
              <w:rPr>
                <w:rFonts w:ascii="方正书宋_GBK" w:hAnsi="Times New Roman" w:eastAsia="方正书宋_GBK" w:cs="Times New Roman"/>
                <w:szCs w:val="24"/>
              </w:rPr>
              <w:t>6153.85</w:t>
            </w:r>
            <w:r>
              <w:rPr>
                <w:rFonts w:hint="eastAsia" w:ascii="方正书宋_GBK" w:hAnsi="Times New Roman" w:eastAsia="方正书宋_GBK" w:cs="Times New Roman"/>
                <w:szCs w:val="24"/>
              </w:rPr>
              <w:t>立方米，粪污传送带</w:t>
            </w:r>
            <w:r>
              <w:rPr>
                <w:rFonts w:ascii="方正书宋_GBK" w:hAnsi="Times New Roman" w:eastAsia="方正书宋_GBK" w:cs="Times New Roman"/>
                <w:szCs w:val="24"/>
              </w:rPr>
              <w:t>1600</w:t>
            </w:r>
            <w:r>
              <w:rPr>
                <w:rFonts w:hint="eastAsia" w:ascii="方正书宋_GBK" w:hAnsi="Times New Roman" w:eastAsia="方正书宋_GBK" w:cs="Times New Roman"/>
                <w:szCs w:val="24"/>
              </w:rPr>
              <w:t>米</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年新增粪污处理能力达</w:t>
            </w:r>
            <w:r>
              <w:rPr>
                <w:rFonts w:ascii="方正书宋_GBK" w:hAnsi="Times New Roman" w:eastAsia="方正书宋_GBK" w:cs="Times New Roman"/>
                <w:szCs w:val="24"/>
              </w:rPr>
              <w:t>2</w:t>
            </w:r>
            <w:r>
              <w:rPr>
                <w:rFonts w:hint="eastAsia" w:ascii="方正书宋_GBK" w:hAnsi="Times New Roman" w:eastAsia="方正书宋_GBK" w:cs="Times New Roman"/>
                <w:szCs w:val="24"/>
              </w:rPr>
              <w:t>万吨</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生态效益指标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减少对周围环境污染</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w:t>
            </w:r>
            <w:r>
              <w:rPr>
                <w:rFonts w:hint="eastAsia" w:ascii="方正书宋_GBK" w:hAnsi="Times New Roman" w:eastAsia="方正书宋_GBK" w:cs="Times New Roman"/>
                <w:szCs w:val="24"/>
              </w:rPr>
              <w:t>个养殖场</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还百姓碧水蓝天的美好生活环境</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pPr>
    </w:p>
    <w:p>
      <w:pPr>
        <w:ind w:firstLine="560"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30、政策性病死猪无害化处理补贴资金绩效目标表</w:t>
      </w:r>
      <w:r>
        <w:rPr>
          <w:rFonts w:ascii="Times New Roman" w:hAnsi="Times New Roman" w:cs="Times New Roman"/>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30、政策性病死猪无害化处理补贴资金绩效目标表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w:t>
            </w: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县财政每头补助</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元</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19.3</w:t>
            </w:r>
            <w:r>
              <w:rPr>
                <w:rFonts w:hint="eastAsia" w:ascii="方正书宋_GBK" w:hAnsi="Times New Roman" w:eastAsia="方正书宋_GBK" w:cs="Times New Roman"/>
                <w:szCs w:val="24"/>
              </w:rPr>
              <w:t>月到</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年</w:t>
            </w:r>
            <w:r>
              <w:rPr>
                <w:rFonts w:ascii="方正书宋_GBK" w:hAnsi="Times New Roman" w:eastAsia="方正书宋_GBK" w:cs="Times New Roman"/>
                <w:szCs w:val="24"/>
              </w:rPr>
              <w:t>2</w:t>
            </w:r>
            <w:r>
              <w:rPr>
                <w:rFonts w:hint="eastAsia" w:ascii="方正书宋_GBK" w:hAnsi="Times New Roman" w:eastAsia="方正书宋_GBK" w:cs="Times New Roman"/>
                <w:szCs w:val="24"/>
              </w:rPr>
              <w:t>月病死猪无害化处理头数补助到位</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numPr>
          <w:ilvl w:val="0"/>
          <w:numId w:val="2"/>
        </w:num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政府采购预算情况</w:t>
      </w:r>
    </w:p>
    <w:p>
      <w:pPr>
        <w:autoSpaceDE w:val="0"/>
        <w:autoSpaceDN w:val="0"/>
        <w:adjustRightInd w:val="0"/>
        <w:jc w:val="left"/>
        <w:rPr>
          <w:rFonts w:ascii="仿宋" w:hAnsi="仿宋" w:eastAsia="仿宋" w:cs="仿宋"/>
          <w:sz w:val="32"/>
          <w:szCs w:val="32"/>
        </w:rPr>
        <w:sectPr>
          <w:pgSz w:w="11907" w:h="16839"/>
          <w:pgMar w:top="1984" w:right="1304" w:bottom="1134" w:left="1304" w:header="851" w:footer="992" w:gutter="0"/>
          <w:cols w:space="425" w:num="1"/>
          <w:docGrid w:type="lines" w:linePitch="312" w:charSpace="0"/>
        </w:sectPr>
      </w:pPr>
      <w:r>
        <w:rPr>
          <w:rFonts w:hint="eastAsia" w:ascii="黑体" w:hAnsi="黑体" w:eastAsia="黑体" w:cs="Times New Roman"/>
          <w:sz w:val="32"/>
          <w:szCs w:val="32"/>
        </w:rPr>
        <w:t xml:space="preserve">    </w:t>
      </w:r>
      <w:r>
        <w:rPr>
          <w:rFonts w:hint="eastAsia" w:ascii="仿宋" w:hAnsi="仿宋" w:eastAsia="仿宋" w:cs="仿宋"/>
          <w:sz w:val="32"/>
          <w:szCs w:val="32"/>
        </w:rPr>
        <w:t xml:space="preserve"> 认真贯彻&lt;&lt;中华人民共和国政府采购法&gt;&gt;和 &lt;&lt;中华人民共和国招标投标法&gt;&gt;等法律法规，我单位2020年政府采购预算0万元。</w:t>
      </w:r>
    </w:p>
    <w:p>
      <w:pPr>
        <w:autoSpaceDE w:val="0"/>
        <w:autoSpaceDN w:val="0"/>
        <w:adjustRightInd w:val="0"/>
        <w:jc w:val="left"/>
        <w:rPr>
          <w:rFonts w:ascii="仿宋" w:hAnsi="仿宋" w:eastAsia="仿宋" w:cs="仿宋"/>
          <w:sz w:val="32"/>
          <w:szCs w:val="32"/>
        </w:rPr>
      </w:pPr>
    </w:p>
    <w:p>
      <w:pPr>
        <w:autoSpaceDE w:val="0"/>
        <w:autoSpaceDN w:val="0"/>
        <w:adjustRightInd w:val="0"/>
        <w:jc w:val="left"/>
        <w:rPr>
          <w:rFonts w:ascii="仿宋" w:hAnsi="仿宋" w:eastAsia="仿宋" w:cs="仿宋"/>
          <w:sz w:val="32"/>
          <w:szCs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326 深泽县农业农村局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无</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outlineLvl w:val="0"/>
        <w:rPr>
          <w:rFonts w:ascii="方正小标宋_GBK" w:eastAsia="方正小标宋_GBK"/>
          <w:sz w:val="32"/>
        </w:rPr>
      </w:pPr>
      <w:r>
        <w:rPr>
          <w:rFonts w:hint="eastAsia" w:ascii="仿宋_GB2312" w:hAnsi="Times New Roman" w:eastAsia="仿宋_GB2312" w:cs="Times New Roman"/>
          <w:color w:val="000000"/>
          <w:szCs w:val="21"/>
        </w:rPr>
        <w:t>注：无政府采购预算，空表列示</w:t>
      </w:r>
    </w:p>
    <w:p>
      <w:pPr>
        <w:ind w:firstLine="640" w:firstLineChars="200"/>
        <w:outlineLvl w:val="0"/>
        <w:rPr>
          <w:rFonts w:ascii="黑体" w:hAnsi="黑体" w:eastAsia="黑体" w:cs="Times New Roman"/>
          <w:sz w:val="32"/>
          <w:szCs w:val="32"/>
        </w:rPr>
      </w:pPr>
      <w:r>
        <w:rPr>
          <w:rFonts w:hint="eastAsia" w:eastAsia="黑体"/>
          <w:sz w:val="32"/>
          <w:szCs w:val="32"/>
        </w:rPr>
        <w:t>七</w:t>
      </w:r>
      <w:r>
        <w:rPr>
          <w:rFonts w:hint="eastAsia" w:ascii="黑体" w:hAnsi="黑体" w:eastAsia="黑体" w:cs="Times New Roman"/>
          <w:sz w:val="32"/>
          <w:szCs w:val="32"/>
        </w:rPr>
        <w:t>、国有资产信息</w:t>
      </w:r>
    </w:p>
    <w:p>
      <w:pPr>
        <w:ind w:firstLine="640"/>
        <w:rPr>
          <w:rFonts w:hint="eastAsia" w:ascii="仿宋_GB2312" w:hAnsi="Times New Roman" w:eastAsia="仿宋_GB2312" w:cs="Times New Roman"/>
          <w:color w:val="000000"/>
          <w:sz w:val="32"/>
          <w:szCs w:val="32"/>
        </w:rPr>
      </w:pPr>
      <w:r>
        <w:rPr>
          <w:rFonts w:hint="eastAsia" w:ascii="Times New Roman" w:hAnsi="Times New Roman" w:eastAsia="仿宋" w:cs="Times New Roman"/>
          <w:color w:val="000000"/>
          <w:sz w:val="32"/>
          <w:szCs w:val="32"/>
        </w:rPr>
        <w:t>深泽县农业农村局2019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 839.98</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r>
        <w:rPr>
          <w:rFonts w:hint="eastAsia" w:ascii="仿宋_GB2312" w:hAnsi="Times New Roman" w:eastAsia="仿宋_GB2312" w:cs="Times New Roman"/>
          <w:color w:val="000000"/>
          <w:sz w:val="32"/>
          <w:szCs w:val="32"/>
        </w:rPr>
        <w:t>本年度拟购置0万元。</w:t>
      </w:r>
    </w:p>
    <w:p>
      <w:pPr>
        <w:ind w:firstLine="640" w:firstLineChars="20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深泽县农业农村局固定资产占用情况表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深泽县农业农村局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839.98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56.59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783.39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hint="eastAsia" w:ascii="Times New Roman" w:hAnsi="Times New Roman" w:eastAsia="仿宋" w:cs="Times New Roman"/>
          <w:sz w:val="32"/>
          <w:szCs w:val="32"/>
        </w:rPr>
        <w:sectPr>
          <w:pgSz w:w="16838" w:h="11906" w:orient="landscape"/>
          <w:pgMar w:top="1304" w:right="1984" w:bottom="1304" w:left="1134" w:header="851" w:footer="992" w:gutter="0"/>
          <w:cols w:space="0" w:num="1"/>
          <w:docGrid w:type="lines" w:linePitch="320" w:charSpace="0"/>
        </w:sectPr>
      </w:pPr>
      <w:r>
        <w:rPr>
          <w:rFonts w:hint="eastAsia" w:ascii="仿宋" w:hAnsi="仿宋" w:eastAsia="仿宋"/>
          <w:sz w:val="32"/>
          <w:szCs w:val="32"/>
        </w:rPr>
        <w:t>我部门没有安排政府性基金预算和国有资本经营预算财政拨款，特此说明。</w:t>
      </w:r>
    </w:p>
    <w:p>
      <w:pPr>
        <w:spacing w:line="300" w:lineRule="exact"/>
        <w:jc w:val="left"/>
        <w:rPr>
          <w:rFonts w:hint="eastAsia" w:ascii="Times New Roman" w:hAnsi="Times New Roman" w:cs="Times New Roman"/>
          <w:szCs w:val="24"/>
        </w:rPr>
      </w:pPr>
    </w:p>
    <w:sectPr>
      <w:footerReference r:id="rId3" w:type="default"/>
      <w:pgSz w:w="16838" w:h="11906" w:orient="landscape"/>
      <w:pgMar w:top="1304" w:right="1984" w:bottom="1304" w:left="113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86"/>
    <w:family w:val="decorative"/>
    <w:pitch w:val="default"/>
    <w:sig w:usb0="00000000" w:usb1="00000000" w:usb2="00000000"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24</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690EC9"/>
    <w:multiLevelType w:val="singleLevel"/>
    <w:tmpl w:val="2B690EC9"/>
    <w:lvl w:ilvl="0" w:tentative="0">
      <w:start w:val="6"/>
      <w:numFmt w:val="chineseCounting"/>
      <w:suff w:val="nothing"/>
      <w:lvlText w:val="%1、"/>
      <w:lvlJc w:val="left"/>
      <w:rPr>
        <w:rFonts w:hint="eastAsia"/>
      </w:rPr>
    </w:lvl>
  </w:abstractNum>
  <w:abstractNum w:abstractNumId="1">
    <w:nsid w:val="5EA7D493"/>
    <w:multiLevelType w:val="singleLevel"/>
    <w:tmpl w:val="5EA7D493"/>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doNotTrackMoves/>
  <w:documentProtection w:enforcement="0"/>
  <w:defaultTabStop w:val="420"/>
  <w:drawingGridHorizontalSpacing w:val="105"/>
  <w:drawingGridVerticalSpacing w:val="160"/>
  <w:displayVerticalDrawingGridEvery w:val="2"/>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7CF"/>
    <w:rsid w:val="005277CF"/>
    <w:rsid w:val="009719C0"/>
    <w:rsid w:val="00E12E35"/>
    <w:rsid w:val="032D21D2"/>
    <w:rsid w:val="04353D96"/>
    <w:rsid w:val="0552520E"/>
    <w:rsid w:val="09870828"/>
    <w:rsid w:val="09E9469D"/>
    <w:rsid w:val="0C020FF1"/>
    <w:rsid w:val="0C051D1D"/>
    <w:rsid w:val="0E197C99"/>
    <w:rsid w:val="0FB86EF2"/>
    <w:rsid w:val="112C5685"/>
    <w:rsid w:val="114B081C"/>
    <w:rsid w:val="12F96F72"/>
    <w:rsid w:val="14001331"/>
    <w:rsid w:val="14241E23"/>
    <w:rsid w:val="15102581"/>
    <w:rsid w:val="16444F8C"/>
    <w:rsid w:val="16662F30"/>
    <w:rsid w:val="17C90E93"/>
    <w:rsid w:val="18AC4CB0"/>
    <w:rsid w:val="1C135719"/>
    <w:rsid w:val="1DFB7B36"/>
    <w:rsid w:val="1E785D7B"/>
    <w:rsid w:val="1FCC49A1"/>
    <w:rsid w:val="20A30797"/>
    <w:rsid w:val="218743F9"/>
    <w:rsid w:val="21A07721"/>
    <w:rsid w:val="21B9215E"/>
    <w:rsid w:val="22332D10"/>
    <w:rsid w:val="22856334"/>
    <w:rsid w:val="238666FD"/>
    <w:rsid w:val="26DC3FEA"/>
    <w:rsid w:val="28E12A5F"/>
    <w:rsid w:val="29E13CD8"/>
    <w:rsid w:val="2E062321"/>
    <w:rsid w:val="2F7D691D"/>
    <w:rsid w:val="347C17A4"/>
    <w:rsid w:val="38B713B5"/>
    <w:rsid w:val="38CE07D1"/>
    <w:rsid w:val="38D86F96"/>
    <w:rsid w:val="39BE10AF"/>
    <w:rsid w:val="39D90419"/>
    <w:rsid w:val="40763D05"/>
    <w:rsid w:val="41472496"/>
    <w:rsid w:val="426C225F"/>
    <w:rsid w:val="42C75F6A"/>
    <w:rsid w:val="4A1022E0"/>
    <w:rsid w:val="4A88673D"/>
    <w:rsid w:val="4B141834"/>
    <w:rsid w:val="4C0C0CE7"/>
    <w:rsid w:val="4E0C7BD7"/>
    <w:rsid w:val="4E9C7B54"/>
    <w:rsid w:val="4EA86298"/>
    <w:rsid w:val="5012572A"/>
    <w:rsid w:val="50482C6C"/>
    <w:rsid w:val="512A3B5C"/>
    <w:rsid w:val="51507CB7"/>
    <w:rsid w:val="569D7C20"/>
    <w:rsid w:val="5F9C7475"/>
    <w:rsid w:val="60187FE1"/>
    <w:rsid w:val="62F05AA9"/>
    <w:rsid w:val="6433274F"/>
    <w:rsid w:val="65AF42EA"/>
    <w:rsid w:val="688F3CC4"/>
    <w:rsid w:val="6B776054"/>
    <w:rsid w:val="6C712312"/>
    <w:rsid w:val="6C9153BA"/>
    <w:rsid w:val="6EA4481E"/>
    <w:rsid w:val="756134D5"/>
    <w:rsid w:val="783B1638"/>
    <w:rsid w:val="788D1536"/>
    <w:rsid w:val="79FD1A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qFormat/>
    <w:uiPriority w:val="0"/>
    <w:rPr>
      <w:vertAlign w:val="superscript"/>
    </w:rPr>
  </w:style>
  <w:style w:type="character" w:customStyle="1" w:styleId="11">
    <w:name w:val="页脚 字符"/>
    <w:link w:val="2"/>
    <w:semiHidden/>
    <w:qFormat/>
    <w:uiPriority w:val="0"/>
    <w:rPr>
      <w:rFonts w:ascii="Times New Roman" w:hAnsi="Times New Roman" w:eastAsia="宋体" w:cs="Times New Roman"/>
      <w:sz w:val="18"/>
      <w:szCs w:val="18"/>
    </w:rPr>
  </w:style>
  <w:style w:type="character" w:customStyle="1" w:styleId="12">
    <w:name w:val="页眉 字符"/>
    <w:link w:val="3"/>
    <w:semiHidden/>
    <w:qFormat/>
    <w:uiPriority w:val="0"/>
    <w:rPr>
      <w:rFonts w:ascii="Times New Roman" w:hAnsi="Times New Roman" w:eastAsia="宋体" w:cs="Times New Roman"/>
      <w:sz w:val="18"/>
      <w:szCs w:val="18"/>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9045</Words>
  <Characters>9555</Characters>
  <Lines>89</Lines>
  <Paragraphs>25</Paragraphs>
  <TotalTime>25</TotalTime>
  <ScaleCrop>false</ScaleCrop>
  <LinksUpToDate>false</LinksUpToDate>
  <CharactersWithSpaces>9625</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2017-01-23T01:29:00Z</dcterms:created>
  <dc:creator>guest</dc:creator>
  <cp:lastModifiedBy>DELL</cp:lastModifiedBy>
  <cp:lastPrinted>2020-02-20T03:04:00Z</cp:lastPrinted>
  <dcterms:modified xsi:type="dcterms:W3CDTF">2025-10-27T08:26:48Z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KSOTemplateDocerSaveRecord">
    <vt:lpwstr>eyJoZGlkIjoiZWNkNzJhOGE2ZjliOWIwNGE2MjI3ZThiNjA5NmZjOTYiLCJ1c2VySWQiOiI0NTQ0MDg1ODMifQ==</vt:lpwstr>
  </property>
  <property fmtid="{D5CDD505-2E9C-101B-9397-08002B2CF9AE}" pid="4" name="ICV">
    <vt:lpwstr>3956A7F0F6954D7C97A6E74A03DB64A3</vt:lpwstr>
  </property>
</Properties>
</file>