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utoSpaceDN w:val="0"/>
        <w:spacing w:line="600" w:lineRule="exact"/>
        <w:jc w:val="center"/>
        <w:rPr>
          <w:rFonts w:ascii="宋体" w:cs="宋体" w:hAnsi="宋体"/>
          <w:b/>
          <w:color w:val="222222"/>
          <w:sz w:val="44"/>
        </w:rPr>
      </w:pPr>
      <w:r>
        <w:rPr>
          <w:rFonts w:ascii="宋体" w:cs="宋体" w:hAnsi="宋体" w:hint="eastAsia"/>
          <w:b/>
          <w:color w:val="222222"/>
          <w:sz w:val="44"/>
        </w:rPr>
        <w:t>深泽县202</w:t>
      </w:r>
      <w:r>
        <w:rPr>
          <w:rFonts w:ascii="宋体" w:cs="宋体" w:hAnsi="宋体"/>
          <w:b/>
          <w:color w:val="222222"/>
          <w:sz w:val="44"/>
        </w:rPr>
        <w:t>5</w:t>
      </w:r>
      <w:r>
        <w:rPr>
          <w:rFonts w:ascii="宋体" w:cs="宋体" w:hAnsi="宋体" w:hint="eastAsia"/>
          <w:b/>
          <w:color w:val="222222"/>
          <w:sz w:val="44"/>
        </w:rPr>
        <w:t>年第</w:t>
      </w:r>
      <w:r>
        <w:rPr>
          <w:rFonts w:ascii="宋体" w:cs="宋体" w:hAnsi="宋体" w:hint="eastAsia"/>
          <w:b/>
          <w:color w:val="222222"/>
          <w:sz w:val="44"/>
          <w:lang w:eastAsia="zh-CN"/>
        </w:rPr>
        <w:t>十</w:t>
      </w:r>
      <w:r>
        <w:rPr>
          <w:rFonts w:ascii="宋体" w:cs="宋体" w:hAnsi="宋体"/>
          <w:b/>
          <w:color w:val="222222"/>
          <w:sz w:val="44"/>
          <w:lang w:eastAsia="zh-CN"/>
        </w:rPr>
        <w:t>八</w:t>
      </w:r>
      <w:r>
        <w:rPr>
          <w:rFonts w:ascii="宋体" w:cs="宋体" w:hAnsi="宋体" w:hint="eastAsia"/>
          <w:b/>
          <w:color w:val="222222"/>
          <w:sz w:val="44"/>
        </w:rPr>
        <w:t>次跨部门“双随机、一公开”联合抽查实施方案</w:t>
      </w:r>
    </w:p>
    <w:p>
      <w:pPr>
        <w:adjustRightInd w:val="0"/>
        <w:snapToGrid w:val="0"/>
        <w:spacing w:line="560" w:lineRule="exact"/>
        <w:rPr>
          <w:rFonts w:ascii="仿宋_GB2312" w:hAnsi="仿宋_GB2312"/>
          <w:color w:val="222222"/>
          <w:sz w:val="32"/>
        </w:rPr>
      </w:pPr>
    </w:p>
    <w:p>
      <w:pPr>
        <w:adjustRightInd w:val="0"/>
        <w:spacing w:line="600" w:lineRule="exact"/>
        <w:ind w:firstLineChars="200"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为深入推进“双随机、一公开”监管与企业信用风险分级分类监管有机结合，</w:t>
      </w:r>
      <w:r>
        <w:rPr>
          <w:rFonts w:ascii="仿宋" w:eastAsia="仿宋" w:cs="仿宋" w:hAnsi="仿宋" w:hint="eastAsia"/>
          <w:color w:val="000000"/>
          <w:kern w:val="60"/>
          <w:sz w:val="32"/>
          <w:szCs w:val="32"/>
        </w:rPr>
        <w:t>提高双随机抽查的精准性和靶向性，</w:t>
      </w:r>
      <w:r>
        <w:rPr>
          <w:rFonts w:ascii="仿宋" w:eastAsia="仿宋" w:cs="仿宋" w:hAnsi="仿宋" w:hint="eastAsia"/>
          <w:color w:val="222222"/>
          <w:sz w:val="32"/>
        </w:rPr>
        <w:t>根据《深泽县202</w:t>
      </w:r>
      <w:r>
        <w:rPr>
          <w:rFonts w:ascii="仿宋" w:eastAsia="仿宋" w:cs="仿宋" w:hAnsi="仿宋"/>
          <w:color w:val="222222"/>
          <w:sz w:val="32"/>
        </w:rPr>
        <w:t>5</w:t>
      </w:r>
      <w:r>
        <w:rPr>
          <w:rFonts w:ascii="仿宋" w:eastAsia="仿宋" w:cs="仿宋" w:hAnsi="仿宋" w:hint="eastAsia"/>
          <w:color w:val="222222"/>
          <w:sz w:val="32"/>
        </w:rPr>
        <w:t>年“双随机、一公开”监管工作实施</w:t>
      </w:r>
      <w:r>
        <w:rPr>
          <w:rFonts w:ascii="仿宋" w:eastAsia="仿宋" w:cs="仿宋" w:hAnsi="仿宋"/>
          <w:color w:val="222222"/>
          <w:sz w:val="32"/>
        </w:rPr>
        <w:t>方</w:t>
      </w:r>
      <w:r>
        <w:rPr>
          <w:rFonts w:ascii="仿宋" w:eastAsia="仿宋" w:cs="仿宋" w:hAnsi="仿宋" w:hint="eastAsia"/>
          <w:color w:val="222222"/>
          <w:sz w:val="32"/>
        </w:rPr>
        <w:t>案》、</w:t>
      </w:r>
      <w:r>
        <w:rPr>
          <w:rFonts w:ascii="仿宋" w:eastAsia="仿宋" w:cs="仿宋" w:hAnsi="仿宋" w:hint="eastAsia"/>
          <w:sz w:val="32"/>
          <w:szCs w:val="32"/>
        </w:rPr>
        <w:t>《深泽县202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年</w:t>
      </w:r>
      <w:r>
        <w:rPr>
          <w:rFonts w:ascii="仿宋" w:eastAsia="仿宋" w:cs="仿宋" w:hAnsi="仿宋"/>
          <w:sz w:val="32"/>
          <w:szCs w:val="32"/>
        </w:rPr>
        <w:t>度</w:t>
      </w:r>
      <w:r>
        <w:rPr>
          <w:rFonts w:ascii="仿宋" w:eastAsia="仿宋" w:cs="仿宋" w:hAnsi="仿宋" w:hint="eastAsia"/>
          <w:sz w:val="32"/>
          <w:szCs w:val="32"/>
        </w:rPr>
        <w:t>随机抽查工作计划》</w:t>
      </w:r>
      <w:r>
        <w:rPr>
          <w:rFonts w:ascii="仿宋" w:eastAsia="仿宋" w:cs="仿宋" w:hAnsi="仿宋" w:hint="eastAsia"/>
          <w:color w:val="222222"/>
          <w:sz w:val="32"/>
        </w:rPr>
        <w:t>，县</w:t>
      </w:r>
      <w:r>
        <w:rPr>
          <w:rFonts w:ascii="仿宋" w:eastAsia="仿宋" w:cs="仿宋" w:hAnsi="仿宋"/>
          <w:color w:val="222222"/>
          <w:sz w:val="32"/>
        </w:rPr>
        <w:t>财政局</w:t>
      </w:r>
      <w:r>
        <w:rPr>
          <w:rFonts w:ascii="仿宋" w:eastAsia="仿宋" w:cs="仿宋" w:hAnsi="仿宋" w:hint="eastAsia"/>
          <w:color w:val="222222"/>
          <w:sz w:val="32"/>
        </w:rPr>
        <w:t>决定组织开展202</w:t>
      </w:r>
      <w:r>
        <w:rPr>
          <w:rFonts w:ascii="仿宋" w:eastAsia="仿宋" w:cs="仿宋" w:hAnsi="仿宋"/>
          <w:color w:val="222222"/>
          <w:sz w:val="32"/>
        </w:rPr>
        <w:t>5</w:t>
      </w:r>
      <w:r>
        <w:rPr>
          <w:rFonts w:ascii="仿宋" w:eastAsia="仿宋" w:cs="仿宋" w:hAnsi="仿宋" w:hint="eastAsia"/>
          <w:color w:val="222222"/>
          <w:sz w:val="32"/>
        </w:rPr>
        <w:t>年第</w:t>
      </w:r>
      <w:r>
        <w:rPr>
          <w:rFonts w:ascii="仿宋" w:eastAsia="仿宋" w:cs="仿宋" w:hAnsi="仿宋" w:hint="eastAsia"/>
          <w:color w:val="222222"/>
          <w:sz w:val="32"/>
          <w:lang w:eastAsia="zh-CN"/>
        </w:rPr>
        <w:t>十</w:t>
      </w:r>
      <w:r>
        <w:rPr>
          <w:rFonts w:ascii="仿宋" w:eastAsia="仿宋" w:cs="仿宋" w:hAnsi="仿宋"/>
          <w:color w:val="222222"/>
          <w:sz w:val="32"/>
          <w:lang w:eastAsia="zh-CN"/>
        </w:rPr>
        <w:t>八</w:t>
      </w:r>
      <w:r>
        <w:rPr>
          <w:rFonts w:ascii="仿宋" w:eastAsia="仿宋" w:cs="仿宋" w:hAnsi="仿宋" w:hint="eastAsia"/>
          <w:color w:val="222222"/>
          <w:sz w:val="32"/>
        </w:rPr>
        <w:t>次跨部门“双随机、一公开”联合抽查。特制定本方案。</w:t>
      </w:r>
    </w:p>
    <w:p>
      <w:pPr>
        <w:autoSpaceDN w:val="0"/>
        <w:spacing w:line="600" w:lineRule="exact"/>
        <w:ind w:leftChars="50" w:left="105" w:rightChars="50" w:right="105" w:firstLine="642"/>
        <w:rPr>
          <w:rFonts w:ascii="黑体" w:eastAsia="黑体" w:hAnsi="黑体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一、时间安排</w:t>
      </w:r>
    </w:p>
    <w:p>
      <w:pPr>
        <w:autoSpaceDN w:val="0"/>
        <w:spacing w:line="600" w:lineRule="exact"/>
        <w:ind w:leftChars="50" w:left="105" w:rightChars="50" w:right="105" w:firstLine="642"/>
        <w:rPr>
          <w:rFonts w:ascii="仿宋" w:eastAsia="仿宋" w:cs="仿宋" w:hAnsi="仿宋"/>
          <w:b/>
          <w:sz w:val="32"/>
        </w:rPr>
      </w:pPr>
      <w:r>
        <w:rPr>
          <w:rFonts w:ascii="仿宋" w:eastAsia="仿宋" w:cs="仿宋" w:hAnsi="仿宋" w:hint="eastAsia"/>
          <w:sz w:val="32"/>
        </w:rPr>
        <w:t>202</w:t>
      </w:r>
      <w:r>
        <w:rPr>
          <w:rFonts w:ascii="仿宋" w:eastAsia="仿宋" w:cs="仿宋" w:hAnsi="仿宋"/>
          <w:sz w:val="32"/>
        </w:rPr>
        <w:t>5</w:t>
      </w:r>
      <w:r>
        <w:rPr>
          <w:rFonts w:ascii="仿宋" w:eastAsia="仿宋" w:cs="仿宋" w:hAnsi="仿宋" w:hint="eastAsia"/>
          <w:sz w:val="32"/>
        </w:rPr>
        <w:t>年</w:t>
      </w:r>
      <w:r>
        <w:rPr>
          <w:rFonts w:ascii="仿宋" w:eastAsia="仿宋" w:cs="仿宋" w:hAnsi="仿宋"/>
          <w:sz w:val="32"/>
        </w:rPr>
        <w:t>9</w:t>
      </w:r>
      <w:r>
        <w:rPr>
          <w:rFonts w:ascii="仿宋" w:eastAsia="仿宋" w:cs="仿宋" w:hAnsi="仿宋" w:hint="eastAsia"/>
          <w:sz w:val="32"/>
        </w:rPr>
        <w:t>月</w:t>
      </w:r>
      <w:r>
        <w:rPr>
          <w:rFonts w:ascii="仿宋" w:eastAsia="仿宋" w:cs="仿宋" w:hAnsi="仿宋" w:hint="eastAsia"/>
          <w:sz w:val="32"/>
          <w:lang w:val="en-US" w:eastAsia="zh-CN"/>
        </w:rPr>
        <w:t>2</w:t>
      </w:r>
      <w:r>
        <w:rPr>
          <w:rFonts w:ascii="仿宋" w:eastAsia="仿宋" w:cs="仿宋" w:hAnsi="仿宋"/>
          <w:sz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</w:rPr>
        <w:t>日至</w:t>
      </w:r>
      <w:r>
        <w:rPr>
          <w:rFonts w:ascii="仿宋" w:eastAsia="仿宋" w:cs="仿宋" w:hAnsi="仿宋"/>
          <w:sz w:val="32"/>
        </w:rPr>
        <w:t>11</w:t>
      </w:r>
      <w:r>
        <w:rPr>
          <w:rFonts w:ascii="仿宋" w:eastAsia="仿宋" w:cs="仿宋" w:hAnsi="仿宋" w:hint="eastAsia"/>
          <w:sz w:val="32"/>
        </w:rPr>
        <w:t>月3</w:t>
      </w:r>
      <w:r>
        <w:rPr>
          <w:rFonts w:ascii="仿宋" w:eastAsia="仿宋" w:cs="仿宋" w:hAnsi="仿宋"/>
          <w:sz w:val="32"/>
        </w:rPr>
        <w:t>0</w:t>
      </w:r>
      <w:r>
        <w:rPr>
          <w:rFonts w:ascii="仿宋" w:eastAsia="仿宋" w:cs="仿宋" w:hAnsi="仿宋" w:hint="eastAsia"/>
          <w:sz w:val="32"/>
        </w:rPr>
        <w:t>日。</w:t>
      </w:r>
    </w:p>
    <w:p>
      <w:pPr>
        <w:autoSpaceDN w:val="0"/>
        <w:spacing w:line="600" w:lineRule="exact"/>
        <w:ind w:leftChars="50" w:left="105" w:rightChars="50" w:right="105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 xml:space="preserve">    二、抽查事项内容</w:t>
      </w:r>
    </w:p>
    <w:p>
      <w:pPr>
        <w:autoSpaceDN w:val="0"/>
        <w:spacing w:line="600" w:lineRule="exact"/>
        <w:ind w:leftChars="50" w:left="105" w:rightChars="50" w:right="105" w:firstLine="640"/>
        <w:rPr>
          <w:rFonts w:ascii="仿宋" w:eastAsia="仿宋" w:cs="仿宋" w:hAnsi="仿宋" w:hint="eastAsia"/>
          <w:b w:val="0"/>
          <w:bCs/>
          <w:sz w:val="32"/>
        </w:rPr>
      </w:pPr>
      <w:r>
        <w:rPr>
          <w:rFonts w:ascii="仿宋" w:eastAsia="仿宋" w:cs="仿宋" w:hAnsi="仿宋" w:hint="eastAsia"/>
          <w:sz w:val="32"/>
        </w:rPr>
        <w:t>1、</w:t>
      </w:r>
      <w:r>
        <w:rPr>
          <w:rFonts w:ascii="仿宋" w:eastAsia="仿宋" w:cs="仿宋" w:hAnsi="仿宋" w:hint="eastAsia"/>
          <w:b/>
          <w:bCs/>
          <w:sz w:val="32"/>
          <w:szCs w:val="32"/>
          <w:lang w:val="en-US" w:eastAsia="zh-CN"/>
        </w:rPr>
        <w:t>事业单位</w:t>
      </w:r>
      <w:r>
        <w:rPr>
          <w:rFonts w:ascii="仿宋" w:eastAsia="仿宋" w:cs="仿宋" w:hAnsi="仿宋" w:hint="eastAsia"/>
          <w:b/>
          <w:bCs/>
          <w:sz w:val="32"/>
          <w:szCs w:val="32"/>
        </w:rPr>
        <w:t>:</w:t>
      </w:r>
      <w:r>
        <w:rPr>
          <w:rFonts w:ascii="仿宋" w:eastAsia="仿宋" w:cs="仿宋" w:hAnsi="仿宋" w:hint="eastAsia"/>
          <w:b/>
          <w:bCs w:val="0"/>
          <w:sz w:val="32"/>
          <w:lang w:val="en-US" w:eastAsia="zh-CN"/>
        </w:rPr>
        <w:t>财政</w:t>
      </w:r>
      <w:r>
        <w:rPr>
          <w:rFonts w:ascii="仿宋" w:eastAsia="仿宋" w:cs="仿宋" w:hAnsi="仿宋" w:hint="eastAsia"/>
          <w:b/>
          <w:bCs w:val="0"/>
          <w:sz w:val="32"/>
          <w:lang w:eastAsia="zh-CN"/>
        </w:rPr>
        <w:t>局：</w:t>
      </w:r>
      <w:r>
        <w:rPr>
          <w:rFonts w:ascii="仿宋" w:eastAsia="仿宋" w:cs="仿宋" w:hAnsi="仿宋" w:hint="eastAsia"/>
          <w:b w:val="0"/>
          <w:bCs/>
          <w:sz w:val="32"/>
          <w:lang w:val="en-US" w:eastAsia="zh-CN"/>
        </w:rPr>
        <w:t>制度执行情况检查</w:t>
      </w:r>
      <w:r>
        <w:rPr>
          <w:rFonts w:ascii="仿宋" w:eastAsia="仿宋" w:cs="仿宋" w:hAnsi="仿宋"/>
          <w:b w:val="0"/>
          <w:bCs/>
          <w:sz w:val="32"/>
          <w:lang w:val="en-US" w:eastAsia="zh-CN"/>
        </w:rPr>
        <w:t>、</w:t>
      </w:r>
      <w:r>
        <w:rPr>
          <w:rFonts w:ascii="仿宋" w:eastAsia="仿宋" w:cs="仿宋" w:hAnsi="仿宋" w:hint="eastAsia"/>
          <w:b w:val="0"/>
          <w:bCs/>
          <w:sz w:val="32"/>
          <w:lang w:val="en-US" w:eastAsia="zh-CN"/>
        </w:rPr>
        <w:t>执</w:t>
      </w:r>
      <w:r>
        <w:rPr>
          <w:rFonts w:ascii="仿宋" w:eastAsia="仿宋" w:cs="仿宋" w:hAnsi="仿宋"/>
          <w:b w:val="0"/>
          <w:bCs/>
          <w:sz w:val="32"/>
          <w:lang w:val="en-US" w:eastAsia="zh-CN"/>
        </w:rPr>
        <w:t>业</w:t>
      </w:r>
      <w:r>
        <w:rPr>
          <w:rFonts w:ascii="仿宋" w:eastAsia="仿宋" w:cs="仿宋" w:hAnsi="仿宋" w:hint="eastAsia"/>
          <w:b w:val="0"/>
          <w:bCs/>
          <w:sz w:val="32"/>
          <w:lang w:val="en-US" w:eastAsia="zh-CN"/>
        </w:rPr>
        <w:t>质量检查</w:t>
      </w:r>
      <w:r>
        <w:rPr>
          <w:rFonts w:ascii="仿宋" w:eastAsia="仿宋" w:cs="仿宋" w:hAnsi="仿宋" w:hint="eastAsia"/>
          <w:b/>
          <w:bCs w:val="0"/>
          <w:sz w:val="32"/>
          <w:lang w:eastAsia="zh-CN"/>
        </w:rPr>
        <w:t>。</w:t>
      </w:r>
      <w:r>
        <w:rPr>
          <w:rFonts w:ascii="仿宋" w:eastAsia="仿宋" w:cs="仿宋" w:hAnsi="仿宋"/>
          <w:b/>
          <w:bCs w:val="0"/>
          <w:sz w:val="32"/>
          <w:lang w:eastAsia="zh-CN"/>
        </w:rPr>
        <w:t>市场监管</w:t>
      </w:r>
      <w:r>
        <w:rPr>
          <w:rFonts w:ascii="仿宋" w:eastAsia="仿宋" w:cs="仿宋" w:hAnsi="仿宋" w:hint="eastAsia"/>
          <w:b/>
          <w:bCs w:val="0"/>
          <w:sz w:val="32"/>
          <w:lang w:eastAsia="zh-CN"/>
        </w:rPr>
        <w:t>局：</w:t>
      </w:r>
      <w:r>
        <w:rPr>
          <w:rFonts w:ascii="仿宋" w:eastAsia="仿宋" w:cs="仿宋" w:hAnsi="仿宋"/>
          <w:b w:val="0"/>
          <w:bCs/>
          <w:sz w:val="32"/>
          <w:lang w:val="en-US" w:eastAsia="zh-CN"/>
        </w:rPr>
        <w:t>餐饮服务监督检查</w:t>
      </w:r>
      <w:r>
        <w:rPr>
          <w:rFonts w:ascii="仿宋" w:eastAsia="仿宋" w:cs="仿宋" w:hAnsi="仿宋" w:hint="eastAsia"/>
          <w:b/>
          <w:bCs w:val="0"/>
          <w:sz w:val="32"/>
          <w:lang w:eastAsia="zh-CN"/>
        </w:rPr>
        <w:t>。</w:t>
      </w:r>
      <w:r>
        <w:rPr>
          <w:rFonts w:ascii="仿宋" w:eastAsia="仿宋" w:cs="仿宋" w:hAnsi="仿宋" w:hint="eastAsia"/>
          <w:b w:val="0"/>
          <w:bCs/>
          <w:sz w:val="32"/>
        </w:rPr>
        <w:t xml:space="preserve"> </w:t>
      </w:r>
    </w:p>
    <w:p>
      <w:pPr>
        <w:autoSpaceDN w:val="0"/>
        <w:spacing w:line="600" w:lineRule="exact"/>
        <w:ind w:leftChars="50" w:left="105" w:rightChars="50" w:right="105" w:firstLine="640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>三、抽查对象范围及比例</w:t>
      </w:r>
    </w:p>
    <w:p>
      <w:pPr>
        <w:pStyle w:val="16"/>
        <w:snapToGrid w:val="0"/>
        <w:spacing w:after="0" w:line="600" w:lineRule="exact"/>
        <w:ind w:leftChars="0" w:left="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 xml:space="preserve">  (一) 抽查对象范围：</w:t>
      </w:r>
      <w:r>
        <w:rPr>
          <w:rFonts w:ascii="仿宋" w:eastAsia="仿宋" w:cs="仿宋" w:hAnsi="仿宋" w:hint="eastAsia"/>
          <w:b w:val="0"/>
          <w:bCs w:val="0"/>
          <w:w w:val="100"/>
          <w:sz w:val="32"/>
          <w:szCs w:val="32"/>
        </w:rPr>
        <w:t>1、</w:t>
      </w:r>
      <w:r>
        <w:rPr>
          <w:rFonts w:ascii="仿宋" w:eastAsia="仿宋" w:cs="仿宋" w:hAnsi="仿宋" w:hint="eastAsia"/>
          <w:b w:val="0"/>
          <w:bCs w:val="0"/>
          <w:w w:val="100"/>
          <w:sz w:val="32"/>
          <w:szCs w:val="32"/>
          <w:lang w:val="en-US" w:eastAsia="zh-CN"/>
        </w:rPr>
        <w:t>事业单位</w:t>
      </w:r>
      <w:r>
        <w:rPr>
          <w:rFonts w:ascii="仿宋" w:eastAsia="仿宋" w:cs="仿宋" w:hAnsi="仿宋" w:hint="eastAsia"/>
          <w:b w:val="0"/>
          <w:bCs w:val="0"/>
          <w:sz w:val="32"/>
        </w:rPr>
        <w:t>。</w:t>
      </w:r>
    </w:p>
    <w:p>
      <w:pPr>
        <w:pStyle w:val="16"/>
        <w:snapToGrid w:val="0"/>
        <w:spacing w:after="0" w:line="600" w:lineRule="exact"/>
        <w:ind w:leftChars="0" w:left="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 xml:space="preserve"> （二）抽取比例：按照信用风险分级分类抽取3%以上。</w:t>
      </w:r>
    </w:p>
    <w:p>
      <w:pPr>
        <w:widowControl/>
        <w:spacing w:line="600" w:lineRule="exact"/>
        <w:ind w:leftChars="50" w:left="105" w:rightChars="50" w:right="105" w:firstLine="640"/>
        <w:rPr>
          <w:rFonts w:ascii="黑体" w:eastAsia="黑体" w:hAnsi="黑体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四、名单抽取及派发</w:t>
      </w:r>
    </w:p>
    <w:p>
      <w:pPr>
        <w:autoSpaceDN w:val="0"/>
        <w:spacing w:line="600" w:lineRule="exact"/>
        <w:ind w:leftChars="50" w:left="105" w:rightChars="50" w:right="105" w:firstLineChars="200"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（一）县</w:t>
      </w:r>
      <w:r>
        <w:rPr>
          <w:rFonts w:ascii="仿宋" w:eastAsia="仿宋" w:cs="仿宋" w:hAnsi="仿宋"/>
          <w:color w:val="222222"/>
          <w:sz w:val="32"/>
        </w:rPr>
        <w:t>财政局</w:t>
      </w:r>
      <w:r>
        <w:rPr>
          <w:rFonts w:ascii="仿宋" w:eastAsia="仿宋" w:cs="仿宋" w:hAnsi="仿宋" w:hint="eastAsia"/>
          <w:color w:val="222222"/>
          <w:sz w:val="32"/>
        </w:rPr>
        <w:t>通过“河北省双随机执法监管平台”抽取确定被检查对象，由“河北省双随机执法监管平台”自动派发到</w:t>
      </w:r>
      <w:r>
        <w:rPr>
          <w:rFonts w:ascii="仿宋" w:eastAsia="仿宋" w:cs="仿宋" w:hAnsi="仿宋"/>
          <w:color w:val="222222"/>
          <w:sz w:val="32"/>
        </w:rPr>
        <w:t>配合</w:t>
      </w:r>
      <w:r>
        <w:rPr>
          <w:rFonts w:ascii="仿宋" w:eastAsia="仿宋" w:cs="仿宋" w:hAnsi="仿宋" w:hint="eastAsia"/>
          <w:color w:val="222222"/>
          <w:sz w:val="32"/>
        </w:rPr>
        <w:t>单位，由</w:t>
      </w:r>
      <w:r>
        <w:rPr>
          <w:rFonts w:ascii="仿宋" w:eastAsia="仿宋" w:cs="仿宋" w:hAnsi="仿宋"/>
          <w:color w:val="222222"/>
          <w:sz w:val="32"/>
        </w:rPr>
        <w:t>配合</w:t>
      </w:r>
      <w:r>
        <w:rPr>
          <w:rFonts w:ascii="仿宋" w:eastAsia="仿宋" w:cs="仿宋" w:hAnsi="仿宋" w:hint="eastAsia"/>
          <w:color w:val="222222"/>
          <w:sz w:val="32"/>
        </w:rPr>
        <w:t>单位的管理员在两个工作日内完成比对和确认。</w:t>
      </w:r>
    </w:p>
    <w:p>
      <w:pPr>
        <w:autoSpaceDN w:val="0"/>
        <w:spacing w:line="600" w:lineRule="exact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 xml:space="preserve">   （二）</w:t>
      </w:r>
      <w:r>
        <w:rPr>
          <w:rFonts w:ascii="仿宋" w:eastAsia="仿宋" w:cs="仿宋" w:hAnsi="仿宋"/>
          <w:color w:val="222222"/>
          <w:sz w:val="32"/>
        </w:rPr>
        <w:t>配合</w:t>
      </w:r>
      <w:r>
        <w:rPr>
          <w:rFonts w:ascii="仿宋" w:eastAsia="仿宋" w:cs="仿宋" w:hAnsi="仿宋" w:hint="eastAsia"/>
          <w:color w:val="222222"/>
          <w:sz w:val="32"/>
        </w:rPr>
        <w:t>单位通过“河北省双随机执法监管平台”对被检查对象进行认领，从执法人员名录库中随机抽取执法检查人员进行匹配编组。</w:t>
      </w:r>
    </w:p>
    <w:p>
      <w:pPr>
        <w:autoSpaceDN w:val="0"/>
        <w:spacing w:line="600" w:lineRule="exact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 xml:space="preserve">   （三）被检查对象和检查人员确定后，由“河北省双随机执法监管平台”随机匹配，并自动派发到执法检查人员（可直接在APP端查看），实施检查。</w:t>
      </w:r>
    </w:p>
    <w:p>
      <w:pPr>
        <w:autoSpaceDN w:val="0"/>
        <w:spacing w:line="600" w:lineRule="exact"/>
        <w:ind w:firstLineChars="200" w:firstLine="640"/>
        <w:rPr>
          <w:rFonts w:ascii="仿宋" w:eastAsia="仿宋" w:hAnsi="仿宋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五、组织实施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（一）任务分工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1、本次联合抽查由</w:t>
      </w:r>
      <w:r>
        <w:rPr>
          <w:rFonts w:ascii="仿宋" w:eastAsia="仿宋" w:cs="仿宋" w:hAnsi="仿宋" w:hint="eastAsia"/>
          <w:color w:val="222222"/>
          <w:sz w:val="32"/>
          <w:szCs w:val="32"/>
          <w:lang w:val="en-US" w:eastAsia="zh-CN"/>
        </w:rPr>
        <w:t>财政</w:t>
      </w:r>
      <w:r>
        <w:rPr>
          <w:rFonts w:ascii="仿宋" w:eastAsia="仿宋" w:cs="仿宋" w:hAnsi="仿宋" w:hint="eastAsia"/>
          <w:color w:val="222222"/>
          <w:sz w:val="32"/>
          <w:szCs w:val="32"/>
        </w:rPr>
        <w:t>局牵头，纳入跨部门“双随机、一公开”联合抽查的县有关部门为：</w:t>
      </w:r>
      <w:r>
        <w:rPr>
          <w:rFonts w:ascii="仿宋" w:eastAsia="仿宋" w:cs="仿宋" w:hAnsi="仿宋"/>
          <w:color w:val="222222"/>
          <w:sz w:val="32"/>
          <w:szCs w:val="32"/>
          <w:lang w:val="en-US" w:eastAsia="zh-CN"/>
        </w:rPr>
        <w:t>市场监管</w:t>
      </w:r>
      <w:r>
        <w:rPr>
          <w:rFonts w:ascii="仿宋" w:eastAsia="仿宋" w:cs="仿宋" w:hAnsi="仿宋" w:hint="eastAsia"/>
          <w:color w:val="222222"/>
          <w:sz w:val="32"/>
          <w:szCs w:val="32"/>
        </w:rPr>
        <w:t>局。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2、随机抽取的执法人员，无法独立完成专业抽查事项的，由执法检查人员所在部门选派专业人员协助指导完成工作。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3、分派给</w:t>
      </w:r>
      <w:r>
        <w:rPr>
          <w:rFonts w:ascii="仿宋" w:eastAsia="仿宋" w:cs="仿宋" w:hAnsi="仿宋"/>
          <w:color w:val="222222"/>
          <w:sz w:val="32"/>
          <w:szCs w:val="32"/>
        </w:rPr>
        <w:t>配合</w:t>
      </w:r>
      <w:r>
        <w:rPr>
          <w:rFonts w:ascii="仿宋" w:eastAsia="仿宋" w:cs="仿宋" w:hAnsi="仿宋" w:hint="eastAsia"/>
          <w:color w:val="222222"/>
          <w:sz w:val="32"/>
          <w:szCs w:val="32"/>
        </w:rPr>
        <w:t>单位的检查对象本级没有执法权的，由上级部门授权检查，县局没有对应检查人员的由市级选派人员参加县检查组。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（二）检查方式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1、现场检查一般采取信息比对、实地核查等方法；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2、通知检查对象，电话通知或下达检查通知书，告知被检查对象检查内容及需要检查对象配合的事宜。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3、对企业进行实地核查时，应当出示相应证件，检查人员应当填写</w:t>
      </w:r>
      <w:r>
        <w:rPr>
          <w:rFonts w:ascii="仿宋" w:eastAsia="仿宋" w:cs="仿宋" w:hAnsi="仿宋"/>
          <w:color w:val="222222"/>
          <w:sz w:val="32"/>
          <w:szCs w:val="32"/>
        </w:rPr>
        <w:t>相关不合格</w:t>
      </w:r>
      <w:r>
        <w:rPr>
          <w:rFonts w:ascii="仿宋" w:eastAsia="仿宋" w:cs="仿宋" w:hAnsi="仿宋" w:hint="eastAsia"/>
          <w:color w:val="222222"/>
          <w:sz w:val="32"/>
          <w:szCs w:val="32"/>
        </w:rPr>
        <w:t>，并由被检查企业法定代表人签字或盖章确认；被检查对象拒绝签字的应当在“一企一表”上如实记录；以上操作可在“河北省双随机执法监管平台”手机APP上完成。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（三）抽查结果公示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>
      <w:pPr>
        <w:pStyle w:val="16"/>
        <w:spacing w:line="600" w:lineRule="exact"/>
        <w:ind w:leftChars="0" w:left="0" w:firstLineChars="0" w:firstLine="64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>（四）后续结果处置。各单位要根据职责和管辖权限，对检查中发现的违法线索，及时依法处理或移交有关部门，并在</w:t>
      </w:r>
      <w:r>
        <w:rPr>
          <w:rFonts w:ascii="仿宋" w:eastAsia="仿宋" w:cs="仿宋" w:hAnsi="仿宋" w:hint="eastAsia"/>
          <w:color w:val="222222"/>
          <w:w w:val="100"/>
          <w:sz w:val="32"/>
          <w:szCs w:val="32"/>
        </w:rPr>
        <w:t>20个工作日内</w:t>
      </w:r>
      <w:r>
        <w:rPr>
          <w:rFonts w:ascii="仿宋" w:eastAsia="仿宋" w:cs="仿宋" w:hAnsi="仿宋" w:hint="eastAsia"/>
          <w:w w:val="100"/>
          <w:sz w:val="32"/>
          <w:szCs w:val="32"/>
        </w:rPr>
        <w:t>将后续处置结果录入“</w:t>
      </w:r>
      <w:r>
        <w:rPr>
          <w:rFonts w:ascii="仿宋" w:eastAsia="仿宋" w:cs="仿宋" w:hAnsi="仿宋" w:hint="eastAsia"/>
          <w:color w:val="222222"/>
          <w:w w:val="100"/>
          <w:sz w:val="32"/>
          <w:szCs w:val="32"/>
        </w:rPr>
        <w:t>河北省双随机执法监管平台</w:t>
      </w:r>
      <w:r>
        <w:rPr>
          <w:rFonts w:ascii="仿宋" w:eastAsia="仿宋" w:cs="仿宋" w:hAnsi="仿宋" w:hint="eastAsia"/>
          <w:w w:val="100"/>
          <w:sz w:val="32"/>
          <w:szCs w:val="32"/>
        </w:rPr>
        <w:t>”中“后续处置”模块，确保后续监管到位，形成监管闭环。</w:t>
      </w:r>
    </w:p>
    <w:p>
      <w:pPr>
        <w:pStyle w:val="16"/>
        <w:spacing w:line="600" w:lineRule="exact"/>
        <w:ind w:leftChars="0" w:left="0" w:firstLineChars="0" w:firstLine="640"/>
        <w:rPr>
          <w:rFonts w:ascii="仿宋" w:eastAsia="仿宋" w:cs="仿宋" w:hAnsi="仿宋"/>
          <w:b/>
          <w:bCs/>
          <w:w w:val="100"/>
          <w:sz w:val="32"/>
          <w:szCs w:val="32"/>
        </w:rPr>
      </w:pPr>
      <w:r>
        <w:rPr>
          <w:rFonts w:ascii="仿宋" w:eastAsia="仿宋" w:cs="仿宋" w:hAnsi="仿宋"/>
          <w:b/>
          <w:bCs/>
          <w:w w:val="100"/>
          <w:sz w:val="32"/>
          <w:szCs w:val="32"/>
        </w:rPr>
        <w:t>六、</w:t>
      </w:r>
      <w:r>
        <w:rPr>
          <w:rFonts w:ascii="仿宋" w:eastAsia="仿宋" w:cs="仿宋" w:hAnsi="仿宋" w:hint="eastAsia"/>
          <w:b/>
          <w:bCs/>
          <w:w w:val="100"/>
          <w:sz w:val="32"/>
          <w:szCs w:val="32"/>
        </w:rPr>
        <w:t>工作要求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（一）明确工作职责，做好组织保障。</w:t>
      </w:r>
      <w:r>
        <w:rPr>
          <w:rFonts w:ascii="仿宋" w:eastAsia="仿宋" w:cs="仿宋" w:hAnsi="仿宋"/>
          <w:color w:val="222222"/>
          <w:sz w:val="32"/>
        </w:rPr>
        <w:t>牵头部门</w:t>
      </w:r>
      <w:r>
        <w:rPr>
          <w:rFonts w:ascii="仿宋" w:eastAsia="仿宋" w:cs="仿宋" w:hAnsi="仿宋" w:hint="eastAsia"/>
          <w:color w:val="222222"/>
          <w:sz w:val="32"/>
        </w:rPr>
        <w:t>要加强对“双随机、一公开”联合抽查工作的组织领导，各有关部门要加强对本系统抽查任务的业务指导。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二）落实“应联尽联”，提高检查效率。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(</w:t>
      </w:r>
      <w:r>
        <w:rPr>
          <w:rFonts w:ascii="仿宋" w:eastAsia="仿宋" w:cs="仿宋" w:hAnsi="仿宋"/>
          <w:color w:val="222222"/>
          <w:sz w:val="32"/>
        </w:rPr>
        <w:t>三</w:t>
      </w:r>
      <w:r>
        <w:rPr>
          <w:rFonts w:ascii="仿宋" w:eastAsia="仿宋" w:cs="仿宋" w:hAnsi="仿宋" w:hint="eastAsia"/>
          <w:color w:val="222222"/>
          <w:sz w:val="32"/>
        </w:rPr>
        <w:t>)寓监管于服务，减轻企业负担。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>
      <w:pPr>
        <w:autoSpaceDN w:val="0"/>
        <w:spacing w:line="600" w:lineRule="exact"/>
        <w:ind w:firstLineChars="200" w:firstLine="640"/>
        <w:rPr>
          <w:rFonts w:ascii="仿宋" w:eastAsia="仿宋" w:cs="仿宋" w:hAnsi="仿宋" w:hint="eastAsia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(</w:t>
      </w:r>
      <w:r>
        <w:rPr>
          <w:rFonts w:ascii="仿宋" w:eastAsia="仿宋" w:cs="仿宋" w:hAnsi="仿宋"/>
          <w:color w:val="222222"/>
          <w:sz w:val="32"/>
        </w:rPr>
        <w:t>四</w:t>
      </w:r>
      <w:bookmarkStart w:id="0" w:name="_GoBack"/>
      <w:bookmarkEnd w:id="0"/>
      <w:r>
        <w:rPr>
          <w:rFonts w:ascii="仿宋" w:eastAsia="仿宋" w:cs="仿宋" w:hAnsi="仿宋" w:hint="eastAsia"/>
          <w:color w:val="222222"/>
          <w:sz w:val="32"/>
        </w:rPr>
        <w:t>)按时公示结果，促进信用监管。联合抽查工作要做好检查结果的公示，严格按照《202</w:t>
      </w:r>
      <w:r>
        <w:rPr>
          <w:rFonts w:ascii="仿宋" w:eastAsia="仿宋" w:cs="仿宋" w:hAnsi="仿宋" w:hint="eastAsia"/>
          <w:color w:val="222222"/>
          <w:sz w:val="32"/>
          <w:lang w:val="en-US" w:eastAsia="zh-CN"/>
        </w:rPr>
        <w:t>5</w:t>
      </w:r>
      <w:r>
        <w:rPr>
          <w:rFonts w:ascii="仿宋" w:eastAsia="仿宋" w:cs="仿宋" w:hAnsi="仿宋" w:hint="eastAsia"/>
          <w:color w:val="222222"/>
          <w:sz w:val="32"/>
        </w:rPr>
        <w:t>年深泽县“双随机、一公开”监管工作实施</w:t>
      </w:r>
      <w:r>
        <w:rPr>
          <w:rFonts w:ascii="仿宋" w:eastAsia="仿宋" w:cs="仿宋" w:hAnsi="仿宋"/>
          <w:color w:val="222222"/>
          <w:sz w:val="32"/>
        </w:rPr>
        <w:t>方</w:t>
      </w:r>
      <w:r>
        <w:rPr>
          <w:rFonts w:ascii="仿宋" w:eastAsia="仿宋" w:cs="仿宋" w:hAnsi="仿宋" w:hint="eastAsia"/>
          <w:color w:val="222222"/>
          <w:sz w:val="32"/>
        </w:rPr>
        <w:t>案》的要求，及时录入并公示检查结果。同时，对抽查中发现的问题依法依规处置，及时回填后续处理结果，形成完整闭环</w:t>
      </w:r>
      <w:r>
        <w:rPr>
          <w:rFonts w:ascii="仿宋" w:eastAsia="仿宋" w:cs="仿宋" w:hAnsi="仿宋" w:hint="eastAsia"/>
          <w:color w:val="222222"/>
          <w:sz w:val="32"/>
          <w:lang w:eastAsia="zh-CN"/>
        </w:rPr>
        <w:t>。</w:t>
      </w:r>
    </w:p>
    <w:p>
      <w:pPr>
        <w:spacing w:line="60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</w:p>
    <w:sectPr>
      <w:headerReference w:type="default" r:id="rId2"/>
      <w:footerReference w:type="default" r:id="rId3"/>
      <w:footerReference w:type="even" r:id="rId4"/>
      <w:footerReference w:type="first" r:id="rId5"/>
      <w:pgSz w:w="11906" w:h="16838"/>
      <w:pgMar w:top="1644" w:right="1588" w:bottom="2098" w:left="1418" w:header="851" w:footer="992" w:gutter="0"/>
      <w:pgNumType w:fmt="numberInDash"/>
      <w:titlePg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2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0"/>
      <w:tabs>
        <w:tab w:val="center" w:pos="4153"/>
        <w:tab w:val="right" w:pos="8306"/>
      </w:tabs>
      <w:ind w:right="360" w:firstLine="360"/>
    </w:pPr>
    <w:r>
      <mc:AlternateContent>
        <mc:Choice Requires="wps">
          <w:drawing>
            <wp:anchor distT="0" distB="0" distL="114298" distR="114298" simplePos="0" relativeHeight="13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4499" cy="230251"/>
              <wp:effectExtent l="0" t="0" r="0" b="0"/>
              <wp:wrapNone/>
              <wp:docPr id="1" name="文本框 1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444499" cy="230251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pStyle w:val="20"/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文本框 1 3" o:spid="_x0000_s3" filled="f" stroked="f" style="position:absolute;margin-left:0.0pt;margin-top:0.0pt;width:34.999996pt;height:18.130003pt;z-index:13;mso-position-horizontal:center;mso-position-horizontal-relative:margin;mso-position-vertical:absolute;mso-wrap-distance-left:8.999863pt;mso-wrap-distance-right:8.99986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pStyle w:val="20"/>
                      <w:tabs>
                        <w:tab w:val="center" w:pos="4153"/>
                        <w:tab w:val="right" w:pos="8306"/>
                      </w:tabs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  <w:t>- 3 -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0"/>
      <w:framePr w:w="0" w:hRule="auto" w:wrap="around" w:vAnchor="text" w:hAnchor="margin" w:xAlign="outside" w:y="1" w:anchorLock="0"/>
      <w:tabs>
        <w:tab w:val="center" w:pos="4153"/>
        <w:tab w:val="right" w:pos="8306"/>
      </w:tabs>
      <w:rPr>
        <w:rStyle w:val="24"/>
      </w:rPr>
    </w:pPr>
    <w:r>
      <w:rPr>
        <w:rStyle w:val="24"/>
      </w:rPr>
      <w:fldChar w:fldCharType="begin"/>
    </w:r>
    <w:r>
      <w:rPr>
        <w:rStyle w:val="24"/>
      </w:rPr>
      <w:instrText xml:space="preserve">PAGE  </w:instrText>
    </w:r>
    <w:r>
      <w:fldChar w:fldCharType="separate"/>
    </w:r>
    <w:r>
      <w:rPr>
        <w:rStyle w:val="24"/>
      </w:rPr>
      <w:t>3</w:t>
    </w:r>
    <w:r>
      <w:fldChar w:fldCharType="end"/>
    </w:r>
  </w:p>
  <w:p>
    <w:pPr>
      <w:pStyle w:val="20"/>
      <w:tabs>
        <w:tab w:val="center" w:pos="4153"/>
        <w:tab w:val="right" w:pos="8306"/>
      </w:tabs>
      <w:ind w:right="360" w:firstLine="360"/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0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114298" distR="114298" simplePos="0" relativeHeight="15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565" cy="139560"/>
              <wp:effectExtent l="0" t="0" r="0" b="0"/>
              <wp:wrapNone/>
              <wp:docPr id="4" name="文本框 2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79565" cy="13956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5">
                      <w:txbxContent>
                        <w:p>
                          <w:pPr>
                            <w:pStyle w:val="20"/>
                            <w:tabs>
                              <w:tab w:val="center" w:pos="4153"/>
                              <w:tab w:val="right" w:pos="8306"/>
                            </w:tabs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文本框 2 6" o:spid="_x0000_s6" filled="f" stroked="f" style="position:absolute;margin-left:0.0pt;margin-top:0.0pt;width:14.139006pt;height:10.988999pt;z-index:15;mso-position-horizontal:center;mso-position-horizontal-relative:margin;mso-position-vertical:absolute;mso-wrap-distance-left:8.999863pt;mso-wrap-distance-right:8.999863pt;mso-wrap-style:none;">
              <v:stroke color="#000000"/>
              <v:textbox id="849" inset="0mm,0mm,0mm,0mm" o:insetmode="custom" style="layout-flow:horizontal;v-text-anchor:top;mso-fit-shape-to-text:t;">
                <w:txbxContent>
                  <w:p>
                    <w:pPr>
                      <w:pStyle w:val="20"/>
                      <w:tabs>
                        <w:tab w:val="center" w:pos="4153"/>
                        <w:tab w:val="right" w:pos="8306"/>
                      </w:tabs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1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MGUwYzMzZDEwNzM5YzJmYWQ1MDQwMWZkNWI2MzFkMTg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next w:val="16"/>
    <w:pPr>
      <w:widowControl w:val="0"/>
      <w:jc w:val="both"/>
    </w:pPr>
    <w:rPr>
      <w:rFonts w:ascii="Calibri" w:eastAsia="宋体" w:cs="黑体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7" w:lineRule="auto"/>
      <w:outlineLvl w:val="3"/>
    </w:pPr>
    <w:rPr>
      <w:rFonts w:ascii="Cambria" w:cs="Times New Roman" w:hAnsi="Cambria"/>
      <w:b/>
      <w:bCs/>
      <w:sz w:val="28"/>
      <w:szCs w:val="28"/>
    </w:rPr>
  </w:style>
  <w:style w:type="character" w:default="1" w:styleId="10">
    <w:name w:val="Default Paragraph Font"/>
  </w:style>
  <w:style w:type="paragraph" w:customStyle="1" w:styleId="15">
    <w:name w:val="正文文本缩进1"/>
    <w:basedOn w:val="0"/>
    <w:pPr>
      <w:spacing w:after="120"/>
      <w:ind w:leftChars="200" w:left="200"/>
    </w:pPr>
  </w:style>
  <w:style w:type="paragraph" w:customStyle="1" w:styleId="16">
    <w:name w:val="正文首行缩进 21"/>
    <w:basedOn w:val="15"/>
    <w:next w:val="18"/>
    <w:pPr>
      <w:ind w:firstLineChars="200" w:firstLine="200"/>
    </w:pPr>
    <w:rPr>
      <w:w w:val="88"/>
      <w:szCs w:val="21"/>
    </w:rPr>
  </w:style>
  <w:style w:type="paragraph" w:styleId="17">
    <w:name w:val="Body Text"/>
    <w:basedOn w:val="0"/>
    <w:next w:val="19"/>
  </w:style>
  <w:style w:type="paragraph" w:customStyle="1" w:styleId="18">
    <w:name w:val="正文首行缩进1"/>
    <w:basedOn w:val="17"/>
    <w:next w:val="0"/>
    <w:pPr>
      <w:spacing w:line="500" w:lineRule="exact"/>
      <w:ind w:firstLine="420"/>
    </w:pPr>
    <w:rPr>
      <w:sz w:val="28"/>
    </w:rPr>
  </w:style>
  <w:style w:type="paragraph" w:styleId="19">
    <w:name w:val="Title"/>
    <w:basedOn w:val="0"/>
    <w:next w:val="0"/>
    <w:pPr>
      <w:spacing w:before="3"/>
      <w:ind w:left="65" w:right="164"/>
      <w:jc w:val="center"/>
    </w:pPr>
    <w:rPr>
      <w:rFonts w:ascii="宋体" w:cs="宋体" w:hAnsi="宋体"/>
      <w:sz w:val="100"/>
      <w:szCs w:val="100"/>
    </w:rPr>
  </w:style>
  <w:style w:type="paragraph" w:styleId="20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1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2">
    <w:name w:val="Hyperlink"/>
    <w:basedOn w:val="10"/>
    <w:rPr>
      <w:color w:val="0000FF"/>
      <w:u w:val="single"/>
    </w:rPr>
  </w:style>
  <w:style w:type="paragraph" w:customStyle="1" w:styleId="23">
    <w:name w:val="正文缩进1"/>
    <w:basedOn w:val="0"/>
    <w:next w:val="16"/>
    <w:pPr>
      <w:ind w:firstLine="420"/>
    </w:pPr>
  </w:style>
  <w:style w:type="character" w:customStyle="1" w:styleId="24">
    <w:name w:val="页码1"/>
    <w:basedOn w:val="10"/>
  </w:style>
  <w:style w:type="character" w:customStyle="1" w:styleId="25">
    <w:name w:val="readonlyspan1"/>
    <w:basedOn w:val="10"/>
    <w:rPr>
      <w:rFonts w:ascii="宋体" w:eastAsia="宋体" w:cs="宋体" w:hAnsi="宋体"/>
    </w:rPr>
  </w:style>
  <w:style w:type="character" w:customStyle="1" w:styleId="26">
    <w:name w:val="font11"/>
    <w:basedOn w:val="10"/>
    <w:rPr>
      <w:rFonts w:ascii="仿宋_GB2312" w:eastAsia="仿宋_GB2312" w:cs="仿宋_GB2312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styles" Target="styles.xml"/><Relationship Id="rId7" Type="http://schemas.openxmlformats.org/officeDocument/2006/relationships/fontTable" Target="fontTable.xml"/><Relationship Id="rId8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C42646D-63F1-459D-8963-67F6E6F68D68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16</TotalTime>
  <Application>Yozo_Office27021597764231179</Application>
  <Pages>4</Pages>
  <Words>0</Words>
  <Characters>1226</Characters>
  <Lines>0</Lines>
  <Paragraphs>32</Paragraphs>
  <CharactersWithSpaces>1635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邵慧慧</dc:title>
  <dc:creator>赵璞</dc:creator>
  <cp:lastModifiedBy>Administrator</cp:lastModifiedBy>
  <cp:revision>34</cp:revision>
  <cp:lastPrinted>2024-03-01T14:16:00Z</cp:lastPrinted>
  <dcterms:created xsi:type="dcterms:W3CDTF">2021-05-14T13:44:00Z</dcterms:created>
  <dcterms:modified xsi:type="dcterms:W3CDTF">2025-09-25T01:38:18Z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2052-11.1.0.9021</vt:lpwstr>
  </property>
  <property fmtid="{D5CDD505-2E9C-101B-9397-08002B2CF9AE}" pid="3" name="ICV">
    <vt:lpwstr>21B88F925E4A478EA171748AA083480D</vt:lpwstr>
  </property>
</Properties>
</file>