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B5C5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深泽县卫生健康局</w:t>
      </w:r>
    </w:p>
    <w:p w14:paraId="00106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2026年涉企行政检查计划</w:t>
      </w:r>
    </w:p>
    <w:p w14:paraId="33EF9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 w14:paraId="46BC8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根据深泽县司法局转发的河北省人民政府办公厅《关于严格规范涉企行政检查的实施方案》。我单位制定了2026年涉企行政检查计划，现汇报如下：</w:t>
      </w:r>
    </w:p>
    <w:p w14:paraId="1B5F0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一、检查主体、检查依据、检查事项：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详见附件（深泽县2026年涉企行政检查事项及依据）</w:t>
      </w:r>
    </w:p>
    <w:p w14:paraId="1069CF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二、检查对象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：辖区内各类医疗机构、学校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、企业、公共场所、托幼托育机构、饮用水供应。</w:t>
      </w:r>
    </w:p>
    <w:p w14:paraId="126C6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三、检查频次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：最高不超过2次</w:t>
      </w:r>
    </w:p>
    <w:p w14:paraId="7296A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四、检查方式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：以河北省“双随机、一公开”为基础结合日常执法监督。跨部门检查待省“双随机、一公开”方案下达后制定相应的检查计划。</w:t>
      </w:r>
    </w:p>
    <w:p w14:paraId="68F02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9629C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附件：深泽县2026年涉企行政检查事项及依据</w:t>
      </w:r>
    </w:p>
    <w:p w14:paraId="393FE0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194B4B"/>
    <w:rsid w:val="234704F0"/>
    <w:rsid w:val="53194B4B"/>
    <w:rsid w:val="64E00748"/>
    <w:rsid w:val="7DEB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257</Words>
  <Characters>269</Characters>
  <Lines>0</Lines>
  <Paragraphs>0</Paragraphs>
  <TotalTime>104</TotalTime>
  <ScaleCrop>false</ScaleCrop>
  <LinksUpToDate>false</LinksUpToDate>
  <CharactersWithSpaces>269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2026-01-14T06:31:00Z</dcterms:created>
  <dc:creator>李建永</dc:creator>
  <cp:lastModifiedBy>梦醒</cp:lastModifiedBy>
  <dcterms:modified xsi:type="dcterms:W3CDTF">2026-01-16T02:30:00Z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786A39514CAA439BAD0E5BAD85CF459A_11</vt:lpwstr>
  </property>
  <property fmtid="{D5CDD505-2E9C-101B-9397-08002B2CF9AE}" pid="4" name="KSOTemplateDocerSaveRecord">
    <vt:lpwstr>eyJoZGlkIjoiYjU4ODM5ZDM0YzRiNWYwMDQ3ZDgxY2UzYzMzMDAxODEiLCJ1c2VySWQiOiIzNTUwNzM1NTAifQ==</vt:lpwstr>
  </property>
</Properties>
</file>