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75534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val="0"/>
          <w:kern w:val="2"/>
          <w:sz w:val="44"/>
          <w:szCs w:val="44"/>
          <w:lang w:val="en-US" w:eastAsia="zh-CN" w:bidi="ar-SA"/>
        </w:rPr>
      </w:pPr>
      <w:r>
        <w:rPr>
          <w:rFonts w:hint="eastAsia" w:ascii="方正小标宋简体" w:hAnsi="方正小标宋简体" w:eastAsia="方正小标宋简体" w:cs="方正小标宋简体"/>
          <w:b w:val="0"/>
          <w:bCs w:val="0"/>
          <w:kern w:val="2"/>
          <w:sz w:val="44"/>
          <w:szCs w:val="44"/>
          <w:lang w:val="en-US" w:eastAsia="zh-CN" w:bidi="ar-SA"/>
        </w:rPr>
        <w:t>深泽县发展和改革局</w:t>
      </w:r>
    </w:p>
    <w:p w14:paraId="2B58C6E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val="0"/>
          <w:kern w:val="2"/>
          <w:sz w:val="44"/>
          <w:szCs w:val="44"/>
          <w:lang w:val="en-US" w:eastAsia="zh-CN" w:bidi="ar-SA"/>
        </w:rPr>
      </w:pPr>
      <w:r>
        <w:rPr>
          <w:rFonts w:hint="eastAsia" w:ascii="方正小标宋简体" w:hAnsi="方正小标宋简体" w:eastAsia="方正小标宋简体" w:cs="方正小标宋简体"/>
          <w:b w:val="0"/>
          <w:bCs w:val="0"/>
          <w:kern w:val="2"/>
          <w:sz w:val="44"/>
          <w:szCs w:val="44"/>
          <w:lang w:val="en-US" w:eastAsia="zh-CN" w:bidi="ar-SA"/>
        </w:rPr>
        <w:t>深泽县卫生健康局</w:t>
      </w:r>
    </w:p>
    <w:p w14:paraId="445E218C">
      <w:pPr>
        <w:keepNext w:val="0"/>
        <w:keepLines w:val="0"/>
        <w:pageBreakBefore w:val="0"/>
        <w:kinsoku/>
        <w:wordWrap/>
        <w:overflowPunct/>
        <w:topLinePunct w:val="0"/>
        <w:autoSpaceDE/>
        <w:autoSpaceDN/>
        <w:bidi w:val="0"/>
        <w:adjustRightInd w:val="0"/>
        <w:snapToGrid/>
        <w:spacing w:line="560" w:lineRule="exact"/>
        <w:jc w:val="center"/>
        <w:textAlignment w:val="auto"/>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关于制定深泽县托育机构收费试行</w:t>
      </w:r>
    </w:p>
    <w:p w14:paraId="1652FF4D">
      <w:pPr>
        <w:keepNext w:val="0"/>
        <w:keepLines w:val="0"/>
        <w:pageBreakBefore w:val="0"/>
        <w:kinsoku/>
        <w:wordWrap/>
        <w:overflowPunct/>
        <w:topLinePunct w:val="0"/>
        <w:autoSpaceDE/>
        <w:autoSpaceDN/>
        <w:bidi w:val="0"/>
        <w:adjustRightInd w:val="0"/>
        <w:snapToGrid/>
        <w:spacing w:line="560" w:lineRule="exact"/>
        <w:jc w:val="center"/>
        <w:textAlignment w:val="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eastAsia="zh-CN"/>
        </w:rPr>
        <w:t>标准的</w:t>
      </w:r>
      <w:r>
        <w:rPr>
          <w:rFonts w:hint="eastAsia" w:ascii="方正小标宋简体" w:hAnsi="方正小标宋简体" w:eastAsia="方正小标宋简体" w:cs="方正小标宋简体"/>
          <w:b w:val="0"/>
          <w:bCs w:val="0"/>
          <w:sz w:val="44"/>
          <w:szCs w:val="44"/>
          <w:lang w:val="en-US" w:eastAsia="zh-CN"/>
        </w:rPr>
        <w:t>通知（征求意见稿）</w:t>
      </w:r>
    </w:p>
    <w:p w14:paraId="16909FEC">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050000" w:fill="auto"/>
        <w:kinsoku/>
        <w:wordWrap/>
        <w:overflowPunct/>
        <w:topLinePunct w:val="0"/>
        <w:autoSpaceDE/>
        <w:autoSpaceDN/>
        <w:bidi w:val="0"/>
        <w:adjustRightInd w:val="0"/>
        <w:snapToGrid/>
        <w:spacing w:before="0" w:beforeLines="0" w:beforeAutospacing="0" w:after="0" w:afterLines="0" w:afterAutospacing="0" w:line="560" w:lineRule="exact"/>
        <w:ind w:right="0"/>
        <w:jc w:val="left"/>
        <w:textAlignment w:val="auto"/>
        <w:rPr>
          <w:rFonts w:hint="eastAsia" w:ascii="仿宋_GB2312" w:hAnsi="仿宋_GB2312" w:eastAsia="仿宋_GB2312" w:cs="仿宋_GB2312"/>
          <w:b w:val="0"/>
          <w:bCs w:val="0"/>
          <w:i w:val="0"/>
          <w:iCs w:val="0"/>
          <w:caps w:val="0"/>
          <w:color w:val="auto"/>
          <w:spacing w:val="0"/>
          <w:kern w:val="0"/>
          <w:sz w:val="32"/>
          <w:szCs w:val="32"/>
          <w:shd w:val="clear" w:color="0B0000" w:fill="FFFFFF"/>
          <w:lang w:val="en-US" w:eastAsia="zh-CN"/>
        </w:rPr>
      </w:pPr>
    </w:p>
    <w:p w14:paraId="61C141F2">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050000" w:fill="auto"/>
        <w:kinsoku/>
        <w:wordWrap/>
        <w:overflowPunct/>
        <w:topLinePunct w:val="0"/>
        <w:autoSpaceDE/>
        <w:autoSpaceDN/>
        <w:bidi w:val="0"/>
        <w:adjustRightInd w:val="0"/>
        <w:snapToGrid/>
        <w:spacing w:before="0" w:beforeLines="0" w:beforeAutospacing="0" w:after="0" w:afterLines="0" w:afterAutospacing="0" w:line="560" w:lineRule="exact"/>
        <w:ind w:right="0" w:firstLine="640" w:firstLineChars="200"/>
        <w:jc w:val="both"/>
        <w:textAlignment w:val="auto"/>
        <w:rPr>
          <w:rFonts w:hint="eastAsia" w:ascii="仿宋_GB2312" w:hAnsi="仿宋_GB2312" w:eastAsia="仿宋_GB2312" w:cs="仿宋_GB2312"/>
          <w:b w:val="0"/>
          <w:bCs w:val="0"/>
          <w:i w:val="0"/>
          <w:iCs w:val="0"/>
          <w:caps w:val="0"/>
          <w:color w:val="auto"/>
          <w:spacing w:val="0"/>
          <w:kern w:val="0"/>
          <w:sz w:val="32"/>
          <w:szCs w:val="32"/>
          <w:shd w:val="clear" w:color="0B0000" w:fill="FFFFFF"/>
          <w:lang w:val="en-US" w:eastAsia="zh-CN"/>
        </w:rPr>
      </w:pPr>
      <w:r>
        <w:rPr>
          <w:rFonts w:hint="eastAsia" w:ascii="仿宋_GB2312" w:hAnsi="仿宋_GB2312" w:eastAsia="仿宋_GB2312" w:cs="仿宋_GB2312"/>
          <w:b w:val="0"/>
          <w:bCs w:val="0"/>
          <w:i w:val="0"/>
          <w:caps w:val="0"/>
          <w:color w:val="auto"/>
          <w:spacing w:val="0"/>
          <w:sz w:val="32"/>
          <w:szCs w:val="32"/>
          <w:shd w:val="clear" w:fill="FFFFFF"/>
          <w:lang w:eastAsia="zh-CN"/>
        </w:rPr>
        <w:t>根据</w:t>
      </w:r>
      <w:r>
        <w:rPr>
          <w:rFonts w:hint="default" w:ascii="宋体" w:hAnsi="宋体" w:eastAsia="仿宋_GB2312" w:cs="仿宋_GB2312"/>
          <w:bCs/>
          <w:sz w:val="32"/>
          <w:szCs w:val="32"/>
          <w:lang w:eastAsia="zh-CN"/>
        </w:rPr>
        <w:t>河北</w:t>
      </w:r>
      <w:r>
        <w:rPr>
          <w:rFonts w:hint="default" w:ascii="仿宋_GB2312" w:hAnsi="仿宋_GB2312" w:eastAsia="仿宋_GB2312" w:cs="仿宋_GB2312"/>
          <w:b w:val="0"/>
          <w:bCs w:val="0"/>
          <w:i w:val="0"/>
          <w:caps w:val="0"/>
          <w:color w:val="auto"/>
          <w:spacing w:val="0"/>
          <w:sz w:val="32"/>
          <w:szCs w:val="32"/>
          <w:shd w:val="clear" w:fill="FFFFFF"/>
          <w:lang w:eastAsia="zh-CN"/>
        </w:rPr>
        <w:t>省发展和改革委员会</w:t>
      </w:r>
      <w:r>
        <w:rPr>
          <w:rFonts w:hint="eastAsia" w:ascii="仿宋_GB2312" w:hAnsi="仿宋_GB2312" w:eastAsia="仿宋_GB2312" w:cs="仿宋_GB2312"/>
          <w:b w:val="0"/>
          <w:bCs w:val="0"/>
          <w:i w:val="0"/>
          <w:caps w:val="0"/>
          <w:color w:val="auto"/>
          <w:spacing w:val="0"/>
          <w:sz w:val="32"/>
          <w:szCs w:val="32"/>
          <w:shd w:val="clear" w:fill="FFFFFF"/>
          <w:lang w:val="en-US" w:eastAsia="zh-CN"/>
        </w:rPr>
        <w:t xml:space="preserve"> </w:t>
      </w:r>
      <w:r>
        <w:rPr>
          <w:rFonts w:hint="default" w:ascii="仿宋_GB2312" w:hAnsi="仿宋_GB2312" w:eastAsia="仿宋_GB2312" w:cs="仿宋_GB2312"/>
          <w:b w:val="0"/>
          <w:bCs w:val="0"/>
          <w:i w:val="0"/>
          <w:caps w:val="0"/>
          <w:color w:val="auto"/>
          <w:spacing w:val="0"/>
          <w:sz w:val="32"/>
          <w:szCs w:val="32"/>
          <w:shd w:val="clear" w:fill="FFFFFF"/>
          <w:lang w:eastAsia="zh-CN"/>
        </w:rPr>
        <w:t>河北省卫生健康委员会《关于进一步完善</w:t>
      </w:r>
      <w:r>
        <w:rPr>
          <w:rFonts w:hint="eastAsia" w:ascii="仿宋_GB2312" w:hAnsi="仿宋_GB2312" w:eastAsia="仿宋_GB2312" w:cs="仿宋_GB2312"/>
          <w:b w:val="0"/>
          <w:bCs w:val="0"/>
          <w:i w:val="0"/>
          <w:caps w:val="0"/>
          <w:color w:val="auto"/>
          <w:spacing w:val="0"/>
          <w:sz w:val="32"/>
          <w:szCs w:val="32"/>
          <w:shd w:val="clear" w:fill="FFFFFF"/>
          <w:lang w:val="en-US" w:eastAsia="zh-CN"/>
        </w:rPr>
        <w:t>托育</w:t>
      </w:r>
      <w:r>
        <w:rPr>
          <w:rFonts w:hint="default" w:ascii="仿宋_GB2312" w:hAnsi="仿宋_GB2312" w:eastAsia="仿宋_GB2312" w:cs="仿宋_GB2312"/>
          <w:b w:val="0"/>
          <w:bCs w:val="0"/>
          <w:i w:val="0"/>
          <w:caps w:val="0"/>
          <w:color w:val="auto"/>
          <w:spacing w:val="0"/>
          <w:sz w:val="32"/>
          <w:szCs w:val="32"/>
          <w:shd w:val="clear" w:fill="FFFFFF"/>
          <w:lang w:eastAsia="zh-CN"/>
        </w:rPr>
        <w:t>服务收费政策的通知》（冀发改公价〔</w:t>
      </w:r>
      <w:r>
        <w:rPr>
          <w:rFonts w:hint="default" w:ascii="仿宋_GB2312" w:hAnsi="仿宋_GB2312" w:eastAsia="仿宋_GB2312" w:cs="仿宋_GB2312"/>
          <w:b w:val="0"/>
          <w:bCs w:val="0"/>
          <w:i w:val="0"/>
          <w:caps w:val="0"/>
          <w:color w:val="auto"/>
          <w:spacing w:val="0"/>
          <w:sz w:val="32"/>
          <w:szCs w:val="32"/>
          <w:shd w:val="clear" w:fill="FFFFFF"/>
          <w:lang w:val="en-US" w:eastAsia="zh-CN"/>
        </w:rPr>
        <w:t>2024〕1537号）</w:t>
      </w:r>
      <w:r>
        <w:rPr>
          <w:rFonts w:hint="eastAsia" w:ascii="仿宋_GB2312" w:hAnsi="仿宋_GB2312" w:eastAsia="仿宋_GB2312" w:cs="仿宋_GB2312"/>
          <w:b w:val="0"/>
          <w:bCs w:val="0"/>
          <w:i w:val="0"/>
          <w:caps w:val="0"/>
          <w:color w:val="auto"/>
          <w:spacing w:val="0"/>
          <w:sz w:val="32"/>
          <w:szCs w:val="32"/>
          <w:shd w:val="clear" w:fill="FFFFFF"/>
          <w:lang w:val="en-US" w:eastAsia="zh-CN"/>
        </w:rPr>
        <w:t>、</w:t>
      </w:r>
      <w:r>
        <w:rPr>
          <w:rFonts w:hint="eastAsia" w:ascii="仿宋_GB2312" w:hAnsi="仿宋_GB2312" w:eastAsia="仿宋_GB2312" w:cs="仿宋_GB2312"/>
          <w:b w:val="0"/>
          <w:bCs w:val="0"/>
          <w:i w:val="0"/>
          <w:caps w:val="0"/>
          <w:color w:val="auto"/>
          <w:spacing w:val="0"/>
          <w:sz w:val="32"/>
          <w:szCs w:val="32"/>
          <w:shd w:val="clear" w:fill="FFFFFF"/>
          <w:lang w:eastAsia="zh-CN"/>
        </w:rPr>
        <w:t>石家庄</w:t>
      </w:r>
      <w:bookmarkStart w:id="0" w:name="_GoBack"/>
      <w:bookmarkEnd w:id="0"/>
      <w:r>
        <w:rPr>
          <w:rFonts w:hint="eastAsia" w:ascii="仿宋_GB2312" w:hAnsi="仿宋_GB2312" w:eastAsia="仿宋_GB2312" w:cs="仿宋_GB2312"/>
          <w:b w:val="0"/>
          <w:bCs w:val="0"/>
          <w:i w:val="0"/>
          <w:caps w:val="0"/>
          <w:color w:val="auto"/>
          <w:spacing w:val="0"/>
          <w:sz w:val="32"/>
          <w:szCs w:val="32"/>
          <w:shd w:val="clear" w:fill="FFFFFF"/>
          <w:lang w:eastAsia="zh-CN"/>
        </w:rPr>
        <w:t>市发展和改革委员会</w:t>
      </w:r>
      <w:r>
        <w:rPr>
          <w:rFonts w:hint="eastAsia" w:ascii="仿宋_GB2312" w:hAnsi="仿宋_GB2312" w:eastAsia="仿宋_GB2312" w:cs="仿宋_GB2312"/>
          <w:b w:val="0"/>
          <w:bCs w:val="0"/>
          <w:i w:val="0"/>
          <w:caps w:val="0"/>
          <w:color w:val="auto"/>
          <w:spacing w:val="0"/>
          <w:sz w:val="32"/>
          <w:szCs w:val="32"/>
          <w:shd w:val="clear" w:fill="FFFFFF"/>
          <w:lang w:val="en-US" w:eastAsia="zh-CN"/>
        </w:rPr>
        <w:t xml:space="preserve"> 石家庄市卫生健康委员会</w:t>
      </w:r>
      <w:r>
        <w:rPr>
          <w:rFonts w:hint="eastAsia" w:ascii="仿宋_GB2312" w:hAnsi="仿宋_GB2312" w:eastAsia="仿宋_GB2312" w:cs="仿宋_GB2312"/>
          <w:b w:val="0"/>
          <w:bCs w:val="0"/>
          <w:color w:val="auto"/>
          <w:sz w:val="32"/>
          <w:szCs w:val="32"/>
          <w:lang w:val="en-US" w:eastAsia="zh-CN"/>
        </w:rPr>
        <w:t>《关于制定石家庄市主城区托育机构收费试行标准的通知》（石发</w:t>
      </w:r>
      <w:r>
        <w:rPr>
          <w:rFonts w:hint="eastAsia" w:ascii="仿宋_GB2312" w:hAnsi="仿宋_GB2312" w:eastAsia="仿宋_GB2312" w:cs="仿宋_GB2312"/>
          <w:b w:val="0"/>
          <w:bCs w:val="0"/>
          <w:color w:val="auto"/>
          <w:sz w:val="32"/>
          <w:szCs w:val="32"/>
          <w:highlight w:val="none"/>
          <w:lang w:val="en-US" w:eastAsia="zh-CN"/>
        </w:rPr>
        <w:t>改收费〔2025〕1201</w:t>
      </w:r>
      <w:r>
        <w:rPr>
          <w:rFonts w:hint="eastAsia" w:ascii="仿宋_GB2312" w:hAnsi="仿宋_GB2312" w:eastAsia="仿宋_GB2312" w:cs="仿宋_GB2312"/>
          <w:b w:val="0"/>
          <w:bCs w:val="0"/>
          <w:color w:val="auto"/>
          <w:sz w:val="32"/>
          <w:szCs w:val="32"/>
          <w:lang w:val="en-US" w:eastAsia="zh-CN"/>
        </w:rPr>
        <w:t>号）、石家庄市卫生健康委员会 石家庄市发展和改革委员会 石家庄市财政局《关于进一步规范石家庄市托育服务收费问题的通知》（石卫家庭〔2025〕3号）等</w:t>
      </w:r>
      <w:r>
        <w:rPr>
          <w:rFonts w:hint="eastAsia" w:ascii="仿宋_GB2312" w:hAnsi="仿宋_GB2312" w:eastAsia="仿宋_GB2312" w:cs="仿宋_GB2312"/>
          <w:b w:val="0"/>
          <w:bCs w:val="0"/>
          <w:i w:val="0"/>
          <w:iCs w:val="0"/>
          <w:caps w:val="0"/>
          <w:color w:val="auto"/>
          <w:spacing w:val="0"/>
          <w:kern w:val="0"/>
          <w:sz w:val="32"/>
          <w:szCs w:val="32"/>
          <w:shd w:val="clear" w:color="0B0000" w:fill="FFFFFF"/>
          <w:lang w:val="en-US" w:eastAsia="zh-CN"/>
        </w:rPr>
        <w:t>规定，现将深泽县托育机构收费试行标准有关事项明确如下。</w:t>
      </w:r>
    </w:p>
    <w:p w14:paraId="5D5227CC">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一、适用范围</w:t>
      </w:r>
    </w:p>
    <w:p w14:paraId="6E4AC728">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本县范围内开展婴幼儿托育服务，并在卫生健康部门办理备案的公办和其他非营利性托育服务机构（含普惠性幼儿园开设的2-3岁托班）。</w:t>
      </w:r>
    </w:p>
    <w:p w14:paraId="55054AE8">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二、试行收费标准</w:t>
      </w:r>
    </w:p>
    <w:p w14:paraId="2811C566">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jc w:val="both"/>
        <w:textAlignment w:val="auto"/>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（一）</w:t>
      </w:r>
      <w:r>
        <w:rPr>
          <w:rFonts w:hint="eastAsia" w:ascii="仿宋_GB2312" w:hAnsi="仿宋_GB2312" w:eastAsia="仿宋_GB2312" w:cs="仿宋_GB2312"/>
          <w:sz w:val="32"/>
          <w:szCs w:val="32"/>
          <w:lang w:val="en-US" w:eastAsia="zh-CN"/>
        </w:rPr>
        <w:t>公办幼儿园(2-3岁）托班全日托保育费（不含伙食费，下同）最高350元/生·月，下浮不限。</w:t>
      </w:r>
    </w:p>
    <w:p w14:paraId="40EA1254">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楷体_GB2312" w:hAnsi="楷体_GB2312" w:eastAsia="楷体_GB2312" w:cs="楷体_GB2312"/>
          <w:sz w:val="32"/>
          <w:szCs w:val="32"/>
          <w:lang w:val="en-US" w:eastAsia="zh-CN"/>
        </w:rPr>
        <w:t>（二）</w:t>
      </w:r>
      <w:r>
        <w:rPr>
          <w:rFonts w:hint="eastAsia" w:ascii="仿宋_GB2312" w:hAnsi="仿宋_GB2312" w:eastAsia="仿宋_GB2312" w:cs="仿宋_GB2312"/>
          <w:sz w:val="32"/>
          <w:szCs w:val="32"/>
          <w:lang w:val="en-US" w:eastAsia="zh-CN"/>
        </w:rPr>
        <w:t>其他非营利性民办幼儿</w:t>
      </w:r>
      <w:r>
        <w:rPr>
          <w:rFonts w:hint="eastAsia" w:ascii="仿宋_GB2312" w:hAnsi="仿宋_GB2312" w:eastAsia="仿宋_GB2312" w:cs="仿宋_GB2312"/>
          <w:sz w:val="32"/>
          <w:szCs w:val="32"/>
          <w:highlight w:val="none"/>
          <w:lang w:val="en-US" w:eastAsia="zh-CN"/>
        </w:rPr>
        <w:t>园（普惠性民办幼儿园）（2</w:t>
      </w:r>
      <w:r>
        <w:rPr>
          <w:rFonts w:hint="eastAsia" w:ascii="仿宋_GB2312" w:hAnsi="仿宋_GB2312" w:eastAsia="仿宋_GB2312" w:cs="仿宋_GB2312"/>
          <w:sz w:val="32"/>
          <w:szCs w:val="32"/>
          <w:lang w:val="en-US" w:eastAsia="zh-CN"/>
        </w:rPr>
        <w:t>-3岁）</w:t>
      </w:r>
      <w:r>
        <w:rPr>
          <w:rFonts w:hint="eastAsia" w:ascii="仿宋_GB2312" w:hAnsi="仿宋_GB2312" w:eastAsia="仿宋_GB2312" w:cs="仿宋_GB2312"/>
          <w:color w:val="auto"/>
          <w:sz w:val="32"/>
          <w:szCs w:val="32"/>
          <w:lang w:val="en-US" w:eastAsia="zh-CN"/>
        </w:rPr>
        <w:t>托班全日托保育费最高1200元/生·月，下浮不限。</w:t>
      </w:r>
    </w:p>
    <w:p w14:paraId="207FE8AC">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（三）</w:t>
      </w:r>
      <w:r>
        <w:rPr>
          <w:rFonts w:hint="eastAsia" w:ascii="仿宋_GB2312" w:hAnsi="仿宋_GB2312" w:eastAsia="仿宋_GB2312" w:cs="仿宋_GB2312"/>
          <w:sz w:val="32"/>
          <w:szCs w:val="32"/>
          <w:lang w:val="en-US" w:eastAsia="zh-CN"/>
        </w:rPr>
        <w:t>半日托每人每月不超过全日托50%；计时托按小时计算收费，不足1小时的按1小时计算。</w:t>
      </w:r>
    </w:p>
    <w:p w14:paraId="72829830">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jc w:val="both"/>
        <w:textAlignment w:val="auto"/>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（四）</w:t>
      </w:r>
      <w:r>
        <w:rPr>
          <w:rFonts w:hint="eastAsia" w:ascii="仿宋_GB2312" w:hAnsi="仿宋_GB2312" w:eastAsia="仿宋_GB2312" w:cs="仿宋_GB2312"/>
          <w:sz w:val="32"/>
          <w:szCs w:val="32"/>
          <w:lang w:val="en-US" w:eastAsia="zh-CN"/>
        </w:rPr>
        <w:t>对家庭困难的婴幼儿、孤儿和残疾幼儿等收费减免和资助政策按照财政、教育、民政部门有关规定执行。</w:t>
      </w:r>
    </w:p>
    <w:p w14:paraId="24B4EA0A">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jc w:val="both"/>
        <w:textAlignment w:val="auto"/>
        <w:rPr>
          <w:rFonts w:hint="default"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（五）</w:t>
      </w:r>
      <w:r>
        <w:rPr>
          <w:rFonts w:hint="eastAsia" w:ascii="仿宋_GB2312" w:hAnsi="仿宋_GB2312" w:eastAsia="仿宋_GB2312" w:cs="仿宋_GB2312"/>
          <w:sz w:val="32"/>
          <w:szCs w:val="32"/>
          <w:lang w:val="en-US" w:eastAsia="zh-CN"/>
        </w:rPr>
        <w:t>待我县建立公办托育机构、社会办普惠性托育机构及其他民办非营利性托育服务机构后再按程序进行定价。</w:t>
      </w:r>
    </w:p>
    <w:p w14:paraId="775E64DE">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jc w:val="both"/>
        <w:textAlignment w:val="auto"/>
        <w:rPr>
          <w:rFonts w:hint="eastAsia" w:ascii="黑体" w:hAnsi="黑体" w:eastAsia="黑体" w:cs="黑体"/>
          <w:color w:val="auto"/>
          <w:sz w:val="32"/>
          <w:szCs w:val="32"/>
          <w:lang w:val="en-US" w:eastAsia="zh-CN"/>
        </w:rPr>
      </w:pPr>
      <w:r>
        <w:rPr>
          <w:rFonts w:hint="eastAsia" w:ascii="楷体_GB2312" w:hAnsi="楷体_GB2312" w:eastAsia="楷体_GB2312" w:cs="楷体_GB2312"/>
          <w:sz w:val="32"/>
          <w:szCs w:val="32"/>
          <w:lang w:val="en-US" w:eastAsia="zh-CN"/>
        </w:rPr>
        <w:t>（六）</w:t>
      </w:r>
      <w:r>
        <w:rPr>
          <w:rFonts w:hint="eastAsia" w:ascii="仿宋_GB2312" w:hAnsi="仿宋_GB2312" w:eastAsia="仿宋_GB2312" w:cs="仿宋_GB2312"/>
          <w:color w:val="auto"/>
          <w:sz w:val="32"/>
          <w:szCs w:val="32"/>
        </w:rPr>
        <w:t>营利性托育服务机构实行市场调节价管理</w:t>
      </w:r>
      <w:r>
        <w:rPr>
          <w:rFonts w:hint="eastAsia" w:ascii="仿宋_GB2312" w:hAnsi="仿宋_GB2312" w:eastAsia="仿宋_GB2312" w:cs="仿宋_GB2312"/>
          <w:color w:val="auto"/>
          <w:sz w:val="32"/>
          <w:szCs w:val="32"/>
          <w:lang w:eastAsia="zh-CN"/>
        </w:rPr>
        <w:t>。</w:t>
      </w:r>
    </w:p>
    <w:p w14:paraId="2FDC3B8A">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三</w:t>
      </w:r>
      <w:r>
        <w:rPr>
          <w:rFonts w:hint="eastAsia" w:ascii="黑体" w:hAnsi="黑体" w:eastAsia="黑体" w:cs="黑体"/>
          <w:sz w:val="32"/>
          <w:szCs w:val="32"/>
        </w:rPr>
        <w:t>、</w:t>
      </w:r>
      <w:r>
        <w:rPr>
          <w:rFonts w:hint="eastAsia" w:ascii="仿宋_GB2312" w:hAnsi="仿宋_GB2312" w:eastAsia="仿宋_GB2312" w:cs="仿宋_GB2312"/>
          <w:sz w:val="32"/>
          <w:szCs w:val="32"/>
          <w:lang w:val="en-US" w:eastAsia="zh-CN"/>
        </w:rPr>
        <w:t>托育服务机构应与家长（代理人）签订托育服务合同，明确双方的权利和义务，确保服务对象的知情权和选择权，并定期提供费用清单和相关费用结算账目。</w:t>
      </w:r>
    </w:p>
    <w:p w14:paraId="5B4B00A0">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四、</w:t>
      </w:r>
      <w:r>
        <w:rPr>
          <w:rFonts w:hint="eastAsia" w:ascii="仿宋_GB2312" w:hAnsi="仿宋_GB2312" w:eastAsia="仿宋_GB2312" w:cs="仿宋_GB2312"/>
          <w:sz w:val="32"/>
          <w:szCs w:val="32"/>
          <w:lang w:val="en-US" w:eastAsia="zh-CN"/>
        </w:rPr>
        <w:t>各托育机构要建立基本服务费和其他服务费目录清单，并在经营场所显著位置公示，建有门户网站的，要同时在网站公示；发改、卫健、市场监管等部门要密切配合，分工协作，共同做好托育服务收费管理监督工作。</w:t>
      </w:r>
    </w:p>
    <w:p w14:paraId="678EB0FF">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五、</w:t>
      </w:r>
      <w:r>
        <w:rPr>
          <w:rFonts w:hint="eastAsia" w:ascii="仿宋_GB2312" w:hAnsi="仿宋_GB2312" w:eastAsia="仿宋_GB2312" w:cs="仿宋_GB2312"/>
          <w:sz w:val="32"/>
          <w:szCs w:val="32"/>
          <w:lang w:val="en-US" w:eastAsia="zh-CN"/>
        </w:rPr>
        <w:t>本通知有效期1年。试行期满后，将根据试行期间运营情况、市场供求状况、社会承受能力以及服务质量评价反馈等因素，综合评估政策效果，按程序核定并公布正式收费标准。</w:t>
      </w:r>
    </w:p>
    <w:p w14:paraId="7751C9CE">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jc w:val="both"/>
        <w:textAlignment w:val="auto"/>
        <w:rPr>
          <w:rFonts w:hint="default" w:ascii="仿宋_GB2312" w:hAnsi="仿宋_GB2312" w:eastAsia="仿宋_GB2312" w:cs="仿宋_GB2312"/>
          <w:sz w:val="32"/>
          <w:szCs w:val="32"/>
          <w:lang w:val="en-US" w:eastAsia="zh-CN"/>
        </w:rPr>
      </w:pPr>
    </w:p>
    <w:p w14:paraId="42A0DAF7">
      <w:pPr>
        <w:keepNext w:val="0"/>
        <w:keepLines w:val="0"/>
        <w:pageBreakBefore w:val="0"/>
        <w:widowControl w:val="0"/>
        <w:kinsoku/>
        <w:wordWrap/>
        <w:overflowPunct/>
        <w:topLinePunct w:val="0"/>
        <w:autoSpaceDE/>
        <w:autoSpaceDN/>
        <w:bidi w:val="0"/>
        <w:adjustRightInd w:val="0"/>
        <w:snapToGrid/>
        <w:spacing w:line="560" w:lineRule="exact"/>
        <w:ind w:firstLine="640" w:firstLineChars="200"/>
        <w:textAlignment w:val="auto"/>
        <w:rPr>
          <w:rFonts w:hint="eastAsia" w:ascii="仿宋_GB2312" w:hAnsi="仿宋_GB2312" w:eastAsia="仿宋_GB2312" w:cs="仿宋_GB2312"/>
          <w:sz w:val="32"/>
          <w:szCs w:val="32"/>
          <w:lang w:val="en-US" w:eastAsia="zh-CN"/>
        </w:rPr>
      </w:pPr>
    </w:p>
    <w:p w14:paraId="4412C904">
      <w:pPr>
        <w:keepNext w:val="0"/>
        <w:keepLines w:val="0"/>
        <w:pageBreakBefore w:val="0"/>
        <w:numPr>
          <w:ilvl w:val="0"/>
          <w:numId w:val="0"/>
        </w:numPr>
        <w:kinsoku/>
        <w:wordWrap/>
        <w:overflowPunct/>
        <w:topLinePunct w:val="0"/>
        <w:autoSpaceDE/>
        <w:autoSpaceDN/>
        <w:bidi w:val="0"/>
        <w:adjustRightInd w:val="0"/>
        <w:snapToGrid/>
        <w:spacing w:line="560" w:lineRule="exact"/>
        <w:ind w:leftChars="200"/>
        <w:textAlignment w:val="auto"/>
        <w:rPr>
          <w:rFonts w:hint="eastAsia" w:ascii="仿宋_GB2312" w:hAnsi="仿宋_GB2312" w:eastAsia="仿宋_GB2312" w:cs="仿宋_GB2312"/>
          <w:b w:val="0"/>
          <w:bCs w:val="0"/>
          <w:i w:val="0"/>
          <w:iCs w:val="0"/>
          <w:caps w:val="0"/>
          <w:color w:val="auto"/>
          <w:spacing w:val="0"/>
          <w:kern w:val="0"/>
          <w:sz w:val="32"/>
          <w:szCs w:val="32"/>
          <w:shd w:val="clear" w:color="0B0000" w:fill="FFFFFF"/>
          <w:lang w:val="en-US" w:eastAsia="zh-CN"/>
        </w:rPr>
      </w:pPr>
      <w:r>
        <w:rPr>
          <w:rFonts w:hint="eastAsia" w:ascii="仿宋_GB2312" w:hAnsi="仿宋_GB2312" w:eastAsia="仿宋_GB2312" w:cs="仿宋_GB2312"/>
          <w:b w:val="0"/>
          <w:bCs w:val="0"/>
          <w:i w:val="0"/>
          <w:iCs w:val="0"/>
          <w:caps w:val="0"/>
          <w:color w:val="auto"/>
          <w:spacing w:val="0"/>
          <w:kern w:val="0"/>
          <w:sz w:val="32"/>
          <w:szCs w:val="32"/>
          <w:shd w:val="clear" w:color="0B0000" w:fill="FFFFFF"/>
          <w:lang w:val="en-US" w:eastAsia="zh-CN"/>
        </w:rPr>
        <w:t>深泽县发展和改革局               深泽县卫生健康局</w:t>
      </w:r>
    </w:p>
    <w:p w14:paraId="73BF849E">
      <w:pPr>
        <w:keepNext w:val="0"/>
        <w:keepLines w:val="0"/>
        <w:pageBreakBefore w:val="0"/>
        <w:widowControl w:val="0"/>
        <w:kinsoku/>
        <w:wordWrap/>
        <w:overflowPunct/>
        <w:topLinePunct w:val="0"/>
        <w:autoSpaceDE/>
        <w:autoSpaceDN/>
        <w:bidi w:val="0"/>
        <w:adjustRightInd w:val="0"/>
        <w:snapToGrid/>
        <w:spacing w:line="560" w:lineRule="exact"/>
        <w:ind w:firstLine="5760" w:firstLineChars="1800"/>
        <w:textAlignment w:val="auto"/>
        <w:rPr>
          <w:rFonts w:hint="eastAsia" w:ascii="仿宋_GB2312" w:hAnsi="仿宋_GB2312" w:eastAsia="仿宋_GB2312" w:cs="仿宋_GB2312"/>
          <w:b w:val="0"/>
          <w:bCs w:val="0"/>
          <w:i w:val="0"/>
          <w:iCs w:val="0"/>
          <w:caps w:val="0"/>
          <w:color w:val="auto"/>
          <w:spacing w:val="0"/>
          <w:kern w:val="0"/>
          <w:sz w:val="32"/>
          <w:szCs w:val="32"/>
          <w:shd w:val="clear" w:color="0B0000" w:fill="FFFFFF"/>
          <w:lang w:val="en-US" w:eastAsia="zh-CN"/>
        </w:rPr>
      </w:pPr>
      <w:r>
        <w:rPr>
          <w:rFonts w:hint="eastAsia" w:ascii="仿宋_GB2312" w:hAnsi="仿宋_GB2312" w:eastAsia="仿宋_GB2312" w:cs="仿宋_GB2312"/>
          <w:b w:val="0"/>
          <w:bCs w:val="0"/>
          <w:i w:val="0"/>
          <w:iCs w:val="0"/>
          <w:caps w:val="0"/>
          <w:color w:val="auto"/>
          <w:spacing w:val="0"/>
          <w:kern w:val="0"/>
          <w:sz w:val="32"/>
          <w:szCs w:val="32"/>
          <w:shd w:val="clear" w:color="0B0000" w:fill="FFFFFF"/>
          <w:lang w:val="en-US" w:eastAsia="zh-CN"/>
        </w:rPr>
        <w:t>2026年1月30日</w:t>
      </w:r>
    </w:p>
    <w:p w14:paraId="604DEA25">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050000" w:fill="auto"/>
        <w:kinsoku/>
        <w:wordWrap/>
        <w:overflowPunct/>
        <w:topLinePunct w:val="0"/>
        <w:autoSpaceDE/>
        <w:autoSpaceDN/>
        <w:bidi w:val="0"/>
        <w:adjustRightInd w:val="0"/>
        <w:snapToGrid/>
        <w:spacing w:before="0" w:beforeLines="0" w:beforeAutospacing="0" w:after="0" w:afterLines="0" w:afterAutospacing="0" w:line="560" w:lineRule="exact"/>
        <w:ind w:right="0"/>
        <w:jc w:val="left"/>
        <w:textAlignment w:val="auto"/>
        <w:rPr>
          <w:rFonts w:hint="eastAsia" w:ascii="仿宋_GB2312" w:hAnsi="仿宋_GB2312" w:eastAsia="仿宋_GB2312" w:cs="仿宋_GB2312"/>
          <w:b w:val="0"/>
          <w:bCs w:val="0"/>
          <w:i w:val="0"/>
          <w:iCs w:val="0"/>
          <w:caps w:val="0"/>
          <w:color w:val="auto"/>
          <w:spacing w:val="0"/>
          <w:kern w:val="0"/>
          <w:sz w:val="32"/>
          <w:szCs w:val="32"/>
          <w:shd w:val="clear" w:color="0B0000" w:fill="FFFFFF"/>
          <w:lang w:val="en-US" w:eastAsia="zh-CN"/>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0000600000000000000"/>
    <w:charset w:val="86"/>
    <w:family w:val="auto"/>
    <w:pitch w:val="default"/>
    <w:sig w:usb0="800002BF" w:usb1="184F6CF8" w:usb2="00000012" w:usb3="00000000" w:csb0="00160001" w:csb1="1203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370B4"/>
    <w:rsid w:val="005073D0"/>
    <w:rsid w:val="05CF5A18"/>
    <w:rsid w:val="13A37EC3"/>
    <w:rsid w:val="18177197"/>
    <w:rsid w:val="1AD0404D"/>
    <w:rsid w:val="20951E81"/>
    <w:rsid w:val="21784D36"/>
    <w:rsid w:val="2AAA3BF6"/>
    <w:rsid w:val="310730BC"/>
    <w:rsid w:val="31482C43"/>
    <w:rsid w:val="3494345C"/>
    <w:rsid w:val="357452FA"/>
    <w:rsid w:val="4C212DDD"/>
    <w:rsid w:val="4ED513E2"/>
    <w:rsid w:val="55410384"/>
    <w:rsid w:val="5BB10BFF"/>
    <w:rsid w:val="6C6517AA"/>
    <w:rsid w:val="6DCF13B9"/>
    <w:rsid w:val="72225B09"/>
    <w:rsid w:val="76C92911"/>
    <w:rsid w:val="7ABD24E1"/>
    <w:rsid w:val="7EBA73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844</Words>
  <Characters>877</Characters>
  <Lines>0</Lines>
  <Paragraphs>0</Paragraphs>
  <TotalTime>0</TotalTime>
  <ScaleCrop>false</ScaleCrop>
  <LinksUpToDate>false</LinksUpToDate>
  <CharactersWithSpaces>897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2026-01-19T01:30:00Z</dcterms:created>
  <dc:creator>Administrator</dc:creator>
  <cp:lastModifiedBy>Administrator</cp:lastModifiedBy>
  <dcterms:modified xsi:type="dcterms:W3CDTF">2026-01-29T01:46:42Z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eyJoZGlkIjoiOWRlY2JkOWM4NzYzNWIyYTY3N2YzZmRlZjdmY2U4MjIifQ==</vt:lpwstr>
  </property>
  <property fmtid="{D5CDD505-2E9C-101B-9397-08002B2CF9AE}" pid="4" name="ICV">
    <vt:lpwstr>8526A742738549CB8D0A3BE8E6B78D47_13</vt:lpwstr>
  </property>
</Properties>
</file>