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22</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110.64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98.23</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5.75</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2.06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4.60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110.64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110.64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110.64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110.64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110.64</w:t>
            </w:r>
          </w:p>
        </w:tc>
        <w:tc>
          <w:tcPr>
            <w:tcW w:w="1134" w:type="dxa"/>
            <w:vAlign w:val="center"/>
          </w:tcPr>
          <w:p>
            <w:pPr>
              <w:pStyle w:val="单元格样式7"/>
            </w:pPr>
            <w:r>
              <w:t xml:space="preserve">110.64</w:t>
            </w:r>
          </w:p>
        </w:tc>
        <w:tc>
          <w:tcPr>
            <w:tcW w:w="1134" w:type="dxa"/>
            <w:vAlign w:val="center"/>
          </w:tcPr>
          <w:p>
            <w:pPr>
              <w:pStyle w:val="单元格样式7"/>
            </w:pPr>
            <w:r>
              <w:t xml:space="preserve">110.64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98.23</w:t>
            </w:r>
          </w:p>
        </w:tc>
        <w:tc>
          <w:tcPr>
            <w:tcW w:w="1134" w:type="dxa"/>
            <w:vAlign w:val="center"/>
          </w:tcPr>
          <w:p>
            <w:pPr>
              <w:pStyle w:val="单元格样式4"/>
            </w:pPr>
            <w:r>
              <w:t xml:space="preserve">98.23</w:t>
            </w:r>
          </w:p>
        </w:tc>
        <w:tc>
          <w:tcPr>
            <w:tcW w:w="1134" w:type="dxa"/>
            <w:vAlign w:val="center"/>
          </w:tcPr>
          <w:p>
            <w:pPr>
              <w:pStyle w:val="单元格样式4"/>
            </w:pPr>
            <w:r>
              <w:t xml:space="preserve">98.23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98.23</w:t>
            </w:r>
          </w:p>
        </w:tc>
        <w:tc>
          <w:tcPr>
            <w:tcW w:w="1134" w:type="dxa"/>
            <w:vAlign w:val="center"/>
          </w:tcPr>
          <w:p>
            <w:pPr>
              <w:pStyle w:val="单元格样式4"/>
            </w:pPr>
            <w:r>
              <w:t xml:space="preserve">98.23</w:t>
            </w:r>
          </w:p>
        </w:tc>
        <w:tc>
          <w:tcPr>
            <w:tcW w:w="1134" w:type="dxa"/>
            <w:vAlign w:val="center"/>
          </w:tcPr>
          <w:p>
            <w:pPr>
              <w:pStyle w:val="单元格样式4"/>
            </w:pPr>
            <w:r>
              <w:t xml:space="preserve">98.23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95.78</w:t>
            </w:r>
          </w:p>
        </w:tc>
        <w:tc>
          <w:tcPr>
            <w:tcW w:w="1134" w:type="dxa"/>
            <w:vAlign w:val="center"/>
          </w:tcPr>
          <w:p>
            <w:pPr>
              <w:pStyle w:val="单元格样式4"/>
            </w:pPr>
            <w:r>
              <w:t xml:space="preserve">95.78</w:t>
            </w:r>
          </w:p>
        </w:tc>
        <w:tc>
          <w:tcPr>
            <w:tcW w:w="1134" w:type="dxa"/>
            <w:vAlign w:val="center"/>
          </w:tcPr>
          <w:p>
            <w:pPr>
              <w:pStyle w:val="单元格样式4"/>
            </w:pPr>
            <w:r>
              <w:t xml:space="preserve">95.78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2012902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2.45</w:t>
            </w:r>
          </w:p>
        </w:tc>
        <w:tc>
          <w:tcPr>
            <w:tcW w:w="1134" w:type="dxa"/>
            <w:vAlign w:val="center"/>
          </w:tcPr>
          <w:p>
            <w:pPr>
              <w:pStyle w:val="单元格样式4"/>
            </w:pPr>
            <w:r>
              <w:t xml:space="preserve">2.45</w:t>
            </w:r>
          </w:p>
        </w:tc>
        <w:tc>
          <w:tcPr>
            <w:tcW w:w="1134" w:type="dxa"/>
            <w:vAlign w:val="center"/>
          </w:tcPr>
          <w:p>
            <w:pPr>
              <w:pStyle w:val="单元格样式4"/>
            </w:pPr>
            <w:r>
              <w:t xml:space="preserve">2.45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110.64</w:t>
            </w:r>
          </w:p>
        </w:tc>
        <w:tc>
          <w:tcPr>
            <w:tcW w:w="1361" w:type="dxa"/>
            <w:vAlign w:val="center"/>
          </w:tcPr>
          <w:p>
            <w:pPr>
              <w:pStyle w:val="单元格样式7"/>
            </w:pPr>
            <w:r>
              <w:t xml:space="preserve">108.19</w:t>
            </w:r>
          </w:p>
        </w:tc>
        <w:tc>
          <w:tcPr>
            <w:tcW w:w="1361" w:type="dxa"/>
            <w:vAlign w:val="center"/>
          </w:tcPr>
          <w:p>
            <w:pPr>
              <w:pStyle w:val="单元格样式7"/>
            </w:pPr>
            <w:r>
              <w:t xml:space="preserve">2.45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98.23</w:t>
            </w:r>
          </w:p>
        </w:tc>
        <w:tc>
          <w:tcPr>
            <w:tcW w:w="1361" w:type="dxa"/>
            <w:vAlign w:val="center"/>
          </w:tcPr>
          <w:p>
            <w:pPr>
              <w:pStyle w:val="单元格样式4"/>
            </w:pPr>
            <w:r>
              <w:t xml:space="preserve">95.78</w:t>
            </w:r>
          </w:p>
        </w:tc>
        <w:tc>
          <w:tcPr>
            <w:tcW w:w="1361" w:type="dxa"/>
            <w:vAlign w:val="center"/>
          </w:tcPr>
          <w:p>
            <w:pPr>
              <w:pStyle w:val="单元格样式4"/>
            </w:pPr>
            <w:r>
              <w:t xml:space="preserve">2.45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98.23</w:t>
            </w:r>
          </w:p>
        </w:tc>
        <w:tc>
          <w:tcPr>
            <w:tcW w:w="1361" w:type="dxa"/>
            <w:vAlign w:val="center"/>
          </w:tcPr>
          <w:p>
            <w:pPr>
              <w:pStyle w:val="单元格样式4"/>
            </w:pPr>
            <w:r>
              <w:t xml:space="preserve">95.78</w:t>
            </w:r>
          </w:p>
        </w:tc>
        <w:tc>
          <w:tcPr>
            <w:tcW w:w="1361" w:type="dxa"/>
            <w:vAlign w:val="center"/>
          </w:tcPr>
          <w:p>
            <w:pPr>
              <w:pStyle w:val="单元格样式4"/>
            </w:pPr>
            <w:r>
              <w:t xml:space="preserve">2.45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95.78</w:t>
            </w:r>
          </w:p>
        </w:tc>
        <w:tc>
          <w:tcPr>
            <w:tcW w:w="1361" w:type="dxa"/>
            <w:vAlign w:val="center"/>
          </w:tcPr>
          <w:p>
            <w:pPr>
              <w:pStyle w:val="单元格样式4"/>
            </w:pPr>
            <w:r>
              <w:t xml:space="preserve">95.78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2012902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2.45</w:t>
            </w:r>
          </w:p>
        </w:tc>
        <w:tc>
          <w:tcPr>
            <w:tcW w:w="1361" w:type="dxa"/>
            <w:vAlign w:val="center"/>
          </w:tcPr>
          <w:p>
            <w:pPr>
              <w:pStyle w:val="单元格样式4"/>
            </w:pPr>
          </w:p>
        </w:tc>
        <w:tc>
          <w:tcPr>
            <w:tcW w:w="1361" w:type="dxa"/>
            <w:vAlign w:val="center"/>
          </w:tcPr>
          <w:p>
            <w:pPr>
              <w:pStyle w:val="单元格样式4"/>
            </w:pPr>
            <w:r>
              <w:t xml:space="preserve">2.45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5.75</w:t>
            </w:r>
          </w:p>
        </w:tc>
        <w:tc>
          <w:tcPr>
            <w:tcW w:w="1361" w:type="dxa"/>
            <w:vAlign w:val="center"/>
          </w:tcPr>
          <w:p>
            <w:pPr>
              <w:pStyle w:val="单元格样式4"/>
            </w:pPr>
            <w:r>
              <w:t xml:space="preserve">5.75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5.75</w:t>
            </w:r>
          </w:p>
        </w:tc>
        <w:tc>
          <w:tcPr>
            <w:tcW w:w="1361" w:type="dxa"/>
            <w:vAlign w:val="center"/>
          </w:tcPr>
          <w:p>
            <w:pPr>
              <w:pStyle w:val="单元格样式4"/>
            </w:pPr>
            <w:r>
              <w:t xml:space="preserve">5.75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5.75</w:t>
            </w:r>
          </w:p>
        </w:tc>
        <w:tc>
          <w:tcPr>
            <w:tcW w:w="1361" w:type="dxa"/>
            <w:vAlign w:val="center"/>
          </w:tcPr>
          <w:p>
            <w:pPr>
              <w:pStyle w:val="单元格样式4"/>
            </w:pPr>
            <w:r>
              <w:t xml:space="preserve">5.75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2.06</w:t>
            </w:r>
          </w:p>
        </w:tc>
        <w:tc>
          <w:tcPr>
            <w:tcW w:w="1361" w:type="dxa"/>
            <w:vAlign w:val="center"/>
          </w:tcPr>
          <w:p>
            <w:pPr>
              <w:pStyle w:val="单元格样式4"/>
            </w:pPr>
            <w:r>
              <w:t xml:space="preserve">2.06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2.06</w:t>
            </w:r>
          </w:p>
        </w:tc>
        <w:tc>
          <w:tcPr>
            <w:tcW w:w="1361" w:type="dxa"/>
            <w:vAlign w:val="center"/>
          </w:tcPr>
          <w:p>
            <w:pPr>
              <w:pStyle w:val="单元格样式4"/>
            </w:pPr>
            <w:r>
              <w:t xml:space="preserve">2.06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2.06</w:t>
            </w:r>
          </w:p>
        </w:tc>
        <w:tc>
          <w:tcPr>
            <w:tcW w:w="1361" w:type="dxa"/>
            <w:vAlign w:val="center"/>
          </w:tcPr>
          <w:p>
            <w:pPr>
              <w:pStyle w:val="单元格样式4"/>
            </w:pPr>
            <w:r>
              <w:t xml:space="preserve">2.06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4.60</w:t>
            </w:r>
          </w:p>
        </w:tc>
        <w:tc>
          <w:tcPr>
            <w:tcW w:w="1361" w:type="dxa"/>
            <w:vAlign w:val="center"/>
          </w:tcPr>
          <w:p>
            <w:pPr>
              <w:pStyle w:val="单元格样式4"/>
            </w:pPr>
            <w:r>
              <w:t xml:space="preserve">4.60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4.60</w:t>
            </w:r>
          </w:p>
        </w:tc>
        <w:tc>
          <w:tcPr>
            <w:tcW w:w="1361" w:type="dxa"/>
            <w:vAlign w:val="center"/>
          </w:tcPr>
          <w:p>
            <w:pPr>
              <w:pStyle w:val="单元格样式4"/>
            </w:pPr>
            <w:r>
              <w:t xml:space="preserve">4.60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4.60</w:t>
            </w:r>
          </w:p>
        </w:tc>
        <w:tc>
          <w:tcPr>
            <w:tcW w:w="1361" w:type="dxa"/>
            <w:vAlign w:val="center"/>
          </w:tcPr>
          <w:p>
            <w:pPr>
              <w:pStyle w:val="单元格样式4"/>
            </w:pPr>
            <w:r>
              <w:t xml:space="preserve">4.60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110.64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98.23</w:t>
            </w:r>
          </w:p>
        </w:tc>
        <w:tc>
          <w:tcPr>
            <w:tcW w:w="1474" w:type="dxa"/>
            <w:vAlign w:val="center"/>
          </w:tcPr>
          <w:p>
            <w:pPr>
              <w:pStyle w:val="单元格样式4"/>
            </w:pPr>
            <w:r>
              <w:t xml:space="preserve">98.23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5.75</w:t>
            </w:r>
          </w:p>
        </w:tc>
        <w:tc>
          <w:tcPr>
            <w:tcW w:w="1474" w:type="dxa"/>
            <w:vAlign w:val="center"/>
          </w:tcPr>
          <w:p>
            <w:pPr>
              <w:pStyle w:val="单元格样式4"/>
            </w:pPr>
            <w:r>
              <w:t xml:space="preserve">5.75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2.06</w:t>
            </w:r>
          </w:p>
        </w:tc>
        <w:tc>
          <w:tcPr>
            <w:tcW w:w="1474" w:type="dxa"/>
            <w:vAlign w:val="center"/>
          </w:tcPr>
          <w:p>
            <w:pPr>
              <w:pStyle w:val="单元格样式4"/>
            </w:pPr>
            <w:r>
              <w:t xml:space="preserve">2.06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4.60</w:t>
            </w:r>
          </w:p>
        </w:tc>
        <w:tc>
          <w:tcPr>
            <w:tcW w:w="1474" w:type="dxa"/>
            <w:vAlign w:val="center"/>
          </w:tcPr>
          <w:p>
            <w:pPr>
              <w:pStyle w:val="单元格样式4"/>
            </w:pPr>
            <w:r>
              <w:t xml:space="preserve">4.60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110.64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110.64</w:t>
            </w:r>
          </w:p>
        </w:tc>
        <w:tc>
          <w:tcPr>
            <w:tcW w:w="1474" w:type="dxa"/>
            <w:vAlign w:val="center"/>
          </w:tcPr>
          <w:p>
            <w:pPr>
              <w:pStyle w:val="单元格样式7"/>
            </w:pPr>
            <w:r>
              <w:t xml:space="preserve">110.64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110.64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110.64</w:t>
            </w:r>
          </w:p>
        </w:tc>
        <w:tc>
          <w:tcPr>
            <w:tcW w:w="1474" w:type="dxa"/>
            <w:vAlign w:val="center"/>
          </w:tcPr>
          <w:p>
            <w:pPr>
              <w:pStyle w:val="单元格样式7"/>
            </w:pPr>
            <w:r>
              <w:t xml:space="preserve">110.64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110.64</w:t>
            </w:r>
          </w:p>
        </w:tc>
        <w:tc>
          <w:tcPr>
            <w:tcW w:w="2551" w:type="dxa"/>
            <w:vAlign w:val="center"/>
          </w:tcPr>
          <w:p>
            <w:pPr>
              <w:pStyle w:val="单元格样式7"/>
            </w:pPr>
            <w:r>
              <w:t xml:space="preserve">108.19</w:t>
            </w:r>
          </w:p>
        </w:tc>
        <w:tc>
          <w:tcPr>
            <w:tcW w:w="2551" w:type="dxa"/>
            <w:vAlign w:val="center"/>
          </w:tcPr>
          <w:p>
            <w:pPr>
              <w:pStyle w:val="单元格样式7"/>
            </w:pPr>
            <w:r>
              <w:t xml:space="preserve">2.45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98.23</w:t>
            </w:r>
          </w:p>
        </w:tc>
        <w:tc>
          <w:tcPr>
            <w:tcW w:w="2551" w:type="dxa"/>
            <w:vAlign w:val="center"/>
          </w:tcPr>
          <w:p>
            <w:pPr>
              <w:pStyle w:val="单元格样式4"/>
            </w:pPr>
            <w:r>
              <w:t xml:space="preserve">95.78</w:t>
            </w:r>
          </w:p>
        </w:tc>
        <w:tc>
          <w:tcPr>
            <w:tcW w:w="2551" w:type="dxa"/>
            <w:vAlign w:val="center"/>
          </w:tcPr>
          <w:p>
            <w:pPr>
              <w:pStyle w:val="单元格样式4"/>
            </w:pPr>
            <w:r>
              <w:t xml:space="preserve">2.45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98.23</w:t>
            </w:r>
          </w:p>
        </w:tc>
        <w:tc>
          <w:tcPr>
            <w:tcW w:w="2551" w:type="dxa"/>
            <w:vAlign w:val="center"/>
          </w:tcPr>
          <w:p>
            <w:pPr>
              <w:pStyle w:val="单元格样式4"/>
            </w:pPr>
            <w:r>
              <w:t xml:space="preserve">95.78</w:t>
            </w:r>
          </w:p>
        </w:tc>
        <w:tc>
          <w:tcPr>
            <w:tcW w:w="2551" w:type="dxa"/>
            <w:vAlign w:val="center"/>
          </w:tcPr>
          <w:p>
            <w:pPr>
              <w:pStyle w:val="单元格样式4"/>
            </w:pPr>
            <w:r>
              <w:t xml:space="preserve">2.45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95.78</w:t>
            </w:r>
          </w:p>
        </w:tc>
        <w:tc>
          <w:tcPr>
            <w:tcW w:w="2551" w:type="dxa"/>
            <w:vAlign w:val="center"/>
          </w:tcPr>
          <w:p>
            <w:pPr>
              <w:pStyle w:val="单元格样式4"/>
            </w:pPr>
            <w:r>
              <w:t xml:space="preserve">95.78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2012902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2.45</w:t>
            </w:r>
          </w:p>
        </w:tc>
        <w:tc>
          <w:tcPr>
            <w:tcW w:w="2551" w:type="dxa"/>
            <w:vAlign w:val="center"/>
          </w:tcPr>
          <w:p>
            <w:pPr>
              <w:pStyle w:val="单元格样式4"/>
            </w:pPr>
          </w:p>
        </w:tc>
        <w:tc>
          <w:tcPr>
            <w:tcW w:w="2551" w:type="dxa"/>
            <w:vAlign w:val="center"/>
          </w:tcPr>
          <w:p>
            <w:pPr>
              <w:pStyle w:val="单元格样式4"/>
            </w:pPr>
            <w:r>
              <w:t xml:space="preserve">2.45</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5.75</w:t>
            </w:r>
          </w:p>
        </w:tc>
        <w:tc>
          <w:tcPr>
            <w:tcW w:w="2551" w:type="dxa"/>
            <w:vAlign w:val="center"/>
          </w:tcPr>
          <w:p>
            <w:pPr>
              <w:pStyle w:val="单元格样式4"/>
            </w:pPr>
            <w:r>
              <w:t xml:space="preserve">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5.75</w:t>
            </w:r>
          </w:p>
        </w:tc>
        <w:tc>
          <w:tcPr>
            <w:tcW w:w="2551" w:type="dxa"/>
            <w:vAlign w:val="center"/>
          </w:tcPr>
          <w:p>
            <w:pPr>
              <w:pStyle w:val="单元格样式4"/>
            </w:pPr>
            <w:r>
              <w:t xml:space="preserve">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5.75</w:t>
            </w:r>
          </w:p>
        </w:tc>
        <w:tc>
          <w:tcPr>
            <w:tcW w:w="2551" w:type="dxa"/>
            <w:vAlign w:val="center"/>
          </w:tcPr>
          <w:p>
            <w:pPr>
              <w:pStyle w:val="单元格样式4"/>
            </w:pPr>
            <w:r>
              <w:t xml:space="preserve">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2.06</w:t>
            </w:r>
          </w:p>
        </w:tc>
        <w:tc>
          <w:tcPr>
            <w:tcW w:w="2551" w:type="dxa"/>
            <w:vAlign w:val="center"/>
          </w:tcPr>
          <w:p>
            <w:pPr>
              <w:pStyle w:val="单元格样式4"/>
            </w:pPr>
            <w:r>
              <w:t xml:space="preserve">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2.06</w:t>
            </w:r>
          </w:p>
        </w:tc>
        <w:tc>
          <w:tcPr>
            <w:tcW w:w="2551" w:type="dxa"/>
            <w:vAlign w:val="center"/>
          </w:tcPr>
          <w:p>
            <w:pPr>
              <w:pStyle w:val="单元格样式4"/>
            </w:pPr>
            <w:r>
              <w:t xml:space="preserve">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2.06</w:t>
            </w:r>
          </w:p>
        </w:tc>
        <w:tc>
          <w:tcPr>
            <w:tcW w:w="2551" w:type="dxa"/>
            <w:vAlign w:val="center"/>
          </w:tcPr>
          <w:p>
            <w:pPr>
              <w:pStyle w:val="单元格样式4"/>
            </w:pPr>
            <w:r>
              <w:t xml:space="preserve">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4.60</w:t>
            </w:r>
          </w:p>
        </w:tc>
        <w:tc>
          <w:tcPr>
            <w:tcW w:w="2551" w:type="dxa"/>
            <w:vAlign w:val="center"/>
          </w:tcPr>
          <w:p>
            <w:pPr>
              <w:pStyle w:val="单元格样式4"/>
            </w:pPr>
            <w:r>
              <w:t xml:space="preserve">4.60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4.60</w:t>
            </w:r>
          </w:p>
        </w:tc>
        <w:tc>
          <w:tcPr>
            <w:tcW w:w="2551" w:type="dxa"/>
            <w:vAlign w:val="center"/>
          </w:tcPr>
          <w:p>
            <w:pPr>
              <w:pStyle w:val="单元格样式4"/>
            </w:pPr>
            <w:r>
              <w:t xml:space="preserve">4.60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4.60</w:t>
            </w:r>
          </w:p>
        </w:tc>
        <w:tc>
          <w:tcPr>
            <w:tcW w:w="2551" w:type="dxa"/>
            <w:vAlign w:val="center"/>
          </w:tcPr>
          <w:p>
            <w:pPr>
              <w:pStyle w:val="单元格样式4"/>
            </w:pPr>
            <w:r>
              <w:t xml:space="preserve">4.60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108.19</w:t>
            </w:r>
          </w:p>
        </w:tc>
        <w:tc>
          <w:tcPr>
            <w:tcW w:w="2551" w:type="dxa"/>
            <w:vAlign w:val="center"/>
          </w:tcPr>
          <w:p>
            <w:pPr>
              <w:pStyle w:val="单元格样式7"/>
            </w:pPr>
            <w:r>
              <w:t xml:space="preserve">64.55</w:t>
            </w:r>
          </w:p>
        </w:tc>
        <w:tc>
          <w:tcPr>
            <w:tcW w:w="2551" w:type="dxa"/>
            <w:vAlign w:val="center"/>
          </w:tcPr>
          <w:p>
            <w:pPr>
              <w:pStyle w:val="单元格样式7"/>
            </w:pPr>
            <w:r>
              <w:t xml:space="preserve">43.64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52.16</w:t>
            </w:r>
          </w:p>
        </w:tc>
        <w:tc>
          <w:tcPr>
            <w:tcW w:w="2551" w:type="dxa"/>
            <w:vAlign w:val="center"/>
          </w:tcPr>
          <w:p>
            <w:pPr>
              <w:pStyle w:val="单元格样式4"/>
            </w:pPr>
            <w:r>
              <w:t xml:space="preserve">52.16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24.46</w:t>
            </w:r>
          </w:p>
        </w:tc>
        <w:tc>
          <w:tcPr>
            <w:tcW w:w="2551" w:type="dxa"/>
            <w:vAlign w:val="center"/>
          </w:tcPr>
          <w:p>
            <w:pPr>
              <w:pStyle w:val="单元格样式4"/>
            </w:pPr>
            <w:r>
              <w:t xml:space="preserve">24.46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5.84</w:t>
            </w:r>
          </w:p>
        </w:tc>
        <w:tc>
          <w:tcPr>
            <w:tcW w:w="2551" w:type="dxa"/>
            <w:vAlign w:val="center"/>
          </w:tcPr>
          <w:p>
            <w:pPr>
              <w:pStyle w:val="单元格样式4"/>
            </w:pPr>
            <w:r>
              <w:t xml:space="preserve">5.84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9.29</w:t>
            </w:r>
          </w:p>
        </w:tc>
        <w:tc>
          <w:tcPr>
            <w:tcW w:w="2551" w:type="dxa"/>
            <w:vAlign w:val="center"/>
          </w:tcPr>
          <w:p>
            <w:pPr>
              <w:pStyle w:val="单元格样式4"/>
            </w:pPr>
            <w:r>
              <w:t xml:space="preserve">9.29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5.75</w:t>
            </w:r>
          </w:p>
        </w:tc>
        <w:tc>
          <w:tcPr>
            <w:tcW w:w="2551" w:type="dxa"/>
            <w:vAlign w:val="center"/>
          </w:tcPr>
          <w:p>
            <w:pPr>
              <w:pStyle w:val="单元格样式4"/>
            </w:pPr>
            <w:r>
              <w:t xml:space="preserve">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2.06</w:t>
            </w:r>
          </w:p>
        </w:tc>
        <w:tc>
          <w:tcPr>
            <w:tcW w:w="2551" w:type="dxa"/>
            <w:vAlign w:val="center"/>
          </w:tcPr>
          <w:p>
            <w:pPr>
              <w:pStyle w:val="单元格样式4"/>
            </w:pPr>
            <w:r>
              <w:t xml:space="preserve">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0.16</w:t>
            </w:r>
          </w:p>
        </w:tc>
        <w:tc>
          <w:tcPr>
            <w:tcW w:w="2551" w:type="dxa"/>
            <w:vAlign w:val="center"/>
          </w:tcPr>
          <w:p>
            <w:pPr>
              <w:pStyle w:val="单元格样式4"/>
            </w:pPr>
            <w:r>
              <w:t xml:space="preserve">0.16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4.60</w:t>
            </w:r>
          </w:p>
        </w:tc>
        <w:tc>
          <w:tcPr>
            <w:tcW w:w="2551" w:type="dxa"/>
            <w:vAlign w:val="center"/>
          </w:tcPr>
          <w:p>
            <w:pPr>
              <w:pStyle w:val="单元格样式4"/>
            </w:pPr>
            <w:r>
              <w:t xml:space="preserve">4.60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43.64</w:t>
            </w:r>
          </w:p>
        </w:tc>
        <w:tc>
          <w:tcPr>
            <w:tcW w:w="2551" w:type="dxa"/>
            <w:vAlign w:val="center"/>
          </w:tcPr>
          <w:p>
            <w:pPr>
              <w:pStyle w:val="单元格样式4"/>
            </w:pPr>
          </w:p>
        </w:tc>
        <w:tc>
          <w:tcPr>
            <w:tcW w:w="2551" w:type="dxa"/>
            <w:vAlign w:val="center"/>
          </w:tcPr>
          <w:p>
            <w:pPr>
              <w:pStyle w:val="单元格样式4"/>
            </w:pPr>
            <w:r>
              <w:t xml:space="preserve">43.64</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43.64</w:t>
            </w:r>
          </w:p>
        </w:tc>
        <w:tc>
          <w:tcPr>
            <w:tcW w:w="2551" w:type="dxa"/>
            <w:vAlign w:val="center"/>
          </w:tcPr>
          <w:p>
            <w:pPr>
              <w:pStyle w:val="单元格样式4"/>
            </w:pPr>
          </w:p>
        </w:tc>
        <w:tc>
          <w:tcPr>
            <w:tcW w:w="2551" w:type="dxa"/>
            <w:vAlign w:val="center"/>
          </w:tcPr>
          <w:p>
            <w:pPr>
              <w:pStyle w:val="单元格样式4"/>
            </w:pPr>
            <w:r>
              <w:t xml:space="preserve">43.64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12.39</w:t>
            </w:r>
          </w:p>
        </w:tc>
        <w:tc>
          <w:tcPr>
            <w:tcW w:w="2551" w:type="dxa"/>
            <w:vAlign w:val="center"/>
          </w:tcPr>
          <w:p>
            <w:pPr>
              <w:pStyle w:val="单元格样式4"/>
            </w:pPr>
            <w:r>
              <w:t xml:space="preserve">12.39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11.14</w:t>
            </w:r>
          </w:p>
        </w:tc>
        <w:tc>
          <w:tcPr>
            <w:tcW w:w="2551" w:type="dxa"/>
            <w:vAlign w:val="center"/>
          </w:tcPr>
          <w:p>
            <w:pPr>
              <w:pStyle w:val="单元格样式4"/>
            </w:pPr>
            <w:r>
              <w:t xml:space="preserve">11.14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1.25</w:t>
            </w:r>
          </w:p>
        </w:tc>
        <w:tc>
          <w:tcPr>
            <w:tcW w:w="2551" w:type="dxa"/>
            <w:vAlign w:val="center"/>
          </w:tcPr>
          <w:p>
            <w:pPr>
              <w:pStyle w:val="单元格样式4"/>
            </w:pPr>
            <w:r>
              <w:t xml:space="preserve">1.25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深泽县总工会2026年部门预算信息公开情况说明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深泽县总工会2026年部门预算信息公开情况说明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按照《中华人民共和国预算法》、《地方预决算公开操作规程》和《关于进一步推进预算公开工作的实施意见》规定，现将深泽县总工会2026年部门预算公开如下：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1.抓好全县工会组织建设，会员发展和建家评家工作以及工会干部的教育和培训；</w:t>
      </w:r>
    </w:p>
    <w:p>
      <w:pPr>
        <w:pStyle w:val="插入文本样式-插入预算公开部门职责文件"/>
      </w:pPr>
      <w:r>
        <w:t xml:space="preserve">2.深化企事业单位以工资集体协商，厂（企）务公开和职代会建设为主要内容的企业民主管理，抓好和谐劳动关系企业建设；</w:t>
      </w:r>
    </w:p>
    <w:p>
      <w:pPr>
        <w:pStyle w:val="插入文本样式-插入预算公开部门职责文件"/>
      </w:pPr>
      <w:r>
        <w:t xml:space="preserve">3.组织职工开展经济技术创新活动和劳动生产技能竞赛，加强职工劳动安全保护，开展安全生产有关活动；</w:t>
      </w:r>
    </w:p>
    <w:p>
      <w:pPr>
        <w:pStyle w:val="插入文本样式-插入预算公开部门职责文件"/>
      </w:pPr>
      <w:r>
        <w:t xml:space="preserve">4.做好困难职工帮扶工作，为下岗职工提供有关方面的服务，促进下岗职工再就业；</w:t>
      </w:r>
    </w:p>
    <w:p>
      <w:pPr>
        <w:pStyle w:val="插入文本样式-插入预算公开部门职责文件"/>
      </w:pPr>
      <w:r>
        <w:t xml:space="preserve">5.加强女职工特殊权益维护，组织女职工开展“双争活动”；</w:t>
      </w:r>
    </w:p>
    <w:p>
      <w:pPr>
        <w:pStyle w:val="插入文本样式-插入预算公开部门职责文件"/>
      </w:pPr>
      <w:r>
        <w:t xml:space="preserve">6.抓好劳动争议、劳动矛盾的调处工作，全力维护职工的合法权益；</w:t>
      </w:r>
    </w:p>
    <w:p>
      <w:pPr>
        <w:pStyle w:val="插入文本样式-插入预算公开部门职责文件"/>
      </w:pPr>
      <w:r>
        <w:t xml:space="preserve">7.收好、管好、用好并足额上缴工会经费。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深泽县总工会本级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按照预算管理有关规定，目前部门预算的编制实行综合预算管理，即全部收入和支出都反映在预算中。深泽县总工会机关及所属事业单位的收支包含在部门预算中。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110.64万元，其中：一般公共预算收入110.64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深泽县总工会年度部门预算中支出预算的总体情况。2026年支出预算110.64万元，其中基本支出108.19万元，包括人员经费64.55万元和日常公用经费43.64万元；项目支出2.45万元，主要为困难职工和劳模帮扶救助专项资金。；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110.64万元，较2025年预算减少2.66万元，其中：基本支出增加0.34万元，主要为人员经费增加项目支出减少3.00万元，主要为困难职工和劳模帮扶救助专项资金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2026年，我部门机关运行经费共计安排43.64万元，主要用于日常维修、办公用房水电费、办公用房取暖费、办公用房物业管理费等日常运行支出。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和上年持平</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1、提高职工代表大会制度和联席会议制度的规范化和有效性。</w:t>
      </w:r>
    </w:p>
    <w:p>
      <w:pPr>
        <w:pStyle w:val="插入文本样式-插入总体目标文件"/>
      </w:pPr>
      <w:r>
        <w:t xml:space="preserve">2、维护好以工资为核心的各项劳动经济权益，让广大职工共享经济发展成果，全力维护职工队伍和谐稳定。</w:t>
      </w:r>
    </w:p>
    <w:p>
      <w:pPr>
        <w:pStyle w:val="插入文本样式-插入总体目标文件"/>
      </w:pPr>
      <w:r>
        <w:t xml:space="preserve">3、加强和改进劳动模范和管理服务工作，有效解决或缓解困难省劳模的生活状况。</w:t>
      </w:r>
    </w:p>
    <w:p>
      <w:pPr>
        <w:pStyle w:val="插入文本样式-插入总体目标文件"/>
      </w:pPr>
      <w:r>
        <w:t xml:space="preserve">4、广大职工为全县科学发展绿色崛起大局所作的贡献进一步凸显；广大职工在创新型企业建设中的作用进一步增强；广大职工技术技能素质进一步提升;提高广大职工文化生活。</w:t>
      </w:r>
    </w:p>
    <w:p>
      <w:pPr>
        <w:pStyle w:val="插入文本样式-插入总体目标文件"/>
      </w:pPr>
      <w:r>
        <w:t xml:space="preserve">5、切实提高规划综合事务管理水平，保障单位的正常运行。</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1、维护职工合法权益</w:t>
      </w:r>
    </w:p>
    <w:p>
      <w:pPr>
        <w:pStyle w:val="插入文本样式-插入职责分类绩效目标文件"/>
      </w:pPr>
      <w:r>
        <w:t xml:space="preserve">绩效目标：维护好职工的各项劳动经济权益，让广大职工共享经济发展成果，全力维护职工队伍和谐稳定；加强和改进劳动模范和管理服务工作，有效解决或缓解困难省劳模的生活状况。</w:t>
      </w:r>
    </w:p>
    <w:p>
      <w:pPr>
        <w:pStyle w:val="插入文本样式-插入职责分类绩效目标文件"/>
      </w:pPr>
      <w:r>
        <w:t xml:space="preserve">绩效指标：为参加职工互助活动符合救助条件的职工救助率≧90%，困难劳模救助率≧90%。</w:t>
      </w:r>
    </w:p>
    <w:p>
      <w:pPr>
        <w:pStyle w:val="插入文本样式-插入职责分类绩效目标文件"/>
      </w:pPr>
      <w:r>
        <w:t xml:space="preserve">2、工会事务管理</w:t>
      </w:r>
    </w:p>
    <w:p>
      <w:pPr>
        <w:pStyle w:val="插入文本样式-插入职责分类绩效目标文件"/>
      </w:pPr>
      <w:r>
        <w:t xml:space="preserve">绩效目标：切实提高工会综合事务管理水平，保障单位正常运行</w:t>
      </w:r>
    </w:p>
    <w:p>
      <w:pPr>
        <w:pStyle w:val="插入文本样式-插入职责分类绩效目标文件"/>
      </w:pPr>
      <w:r>
        <w:t xml:space="preserve">绩效指标：综合事务保障率≧95%</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1.抓好全县工会组织建设，会员发展和建家评家工作以及工会干部的教育和培训；</w:t>
      </w:r>
    </w:p>
    <w:p>
      <w:pPr>
        <w:pStyle w:val="插入文本样式-插入实现年度发展规划目标的保障措施文件"/>
      </w:pPr>
      <w:r>
        <w:t xml:space="preserve">2.深化企事业单位以工资集体协商，厂（企）务公开和职代会建设为主要内容的企业民主管理，抓好和谐劳动关系企业建设；</w:t>
      </w:r>
    </w:p>
    <w:p>
      <w:pPr>
        <w:pStyle w:val="插入文本样式-插入实现年度发展规划目标的保障措施文件"/>
      </w:pPr>
      <w:r>
        <w:t xml:space="preserve">3.组织职工开展经济技术创新活动和劳动生产技能竞赛，加强职工劳动安全保护，开展安全生产有关活动；</w:t>
      </w:r>
    </w:p>
    <w:p>
      <w:pPr>
        <w:pStyle w:val="插入文本样式-插入实现年度发展规划目标的保障措施文件"/>
      </w:pPr>
      <w:r>
        <w:t xml:space="preserve">4.做好困难职工帮扶工作，为下岗职工提供有关方面的服务，促进下岗职工再就业；</w:t>
      </w:r>
    </w:p>
    <w:p>
      <w:pPr>
        <w:pStyle w:val="插入文本样式-插入实现年度发展规划目标的保障措施文件"/>
      </w:pPr>
      <w:r>
        <w:t xml:space="preserve">5.加强女职工特殊权益维护，组织女职工开展“双争活动”；</w:t>
      </w:r>
    </w:p>
    <w:p>
      <w:pPr>
        <w:pStyle w:val="插入文本样式-插入实现年度发展规划目标的保障措施文件"/>
      </w:pPr>
      <w:r>
        <w:t xml:space="preserve">6.抓好劳动争议、劳动矛盾的调处工作，全力维护职工的合法权益；</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7.收好、管好、用好并足额上缴工会经费。</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1、提前下达2026年省级困难职工及劳模帮扶救助专项资金绩效目标表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13012825P00023710009M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提前下达2026年省级困难职工及劳模帮扶救助专项资金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冀财行【2025】100号关于提前下达2026年省级困难职工及劳模帮扶救助专项资金2.45万元。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2.45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1.收到通知及时拨付到位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到位率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w:t>
            </w:r>
          </w:p>
        </w:tc>
        <w:tc>
          <w:tcPr>
            <w:tcW w:w="1276" w:type="dxa"/>
            <w:vAlign w:val="center"/>
          </w:tcPr>
          <w:p>
            <w:pPr>
              <w:pStyle w:val="单元格样式2"/>
            </w:pPr>
            <w:r>
              <w:t xml:space="preserve">专用率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发放及时性</w:t>
            </w:r>
          </w:p>
        </w:tc>
        <w:tc>
          <w:tcPr>
            <w:tcW w:w="5386" w:type="dxa"/>
            <w:vAlign w:val="center"/>
          </w:tcPr>
          <w:p>
            <w:pPr>
              <w:pStyle w:val="单元格样式2"/>
            </w:pPr>
            <w:r>
              <w:t xml:space="preserve">发放及时性</w:t>
            </w:r>
          </w:p>
        </w:tc>
        <w:tc>
          <w:tcPr>
            <w:tcW w:w="2268" w:type="dxa"/>
            <w:vAlign w:val="center"/>
          </w:tcPr>
          <w:p>
            <w:pPr>
              <w:pStyle w:val="单元格样式2"/>
            </w:pPr>
            <w:r>
              <w:t xml:space="preserve">≥90%</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2.45万元</w:t>
            </w:r>
          </w:p>
        </w:tc>
        <w:tc>
          <w:tcPr>
            <w:tcW w:w="1276" w:type="dxa"/>
            <w:vAlign w:val="center"/>
          </w:tcPr>
          <w:p>
            <w:pPr>
              <w:pStyle w:val="单元格样式2"/>
            </w:pPr>
            <w:r>
              <w:t xml:space="preserve">总成本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≥90%</w:t>
            </w:r>
          </w:p>
        </w:tc>
        <w:tc>
          <w:tcPr>
            <w:tcW w:w="1276" w:type="dxa"/>
            <w:vAlign w:val="center"/>
          </w:tcPr>
          <w:p>
            <w:pPr>
              <w:pStyle w:val="单元格样式2"/>
            </w:pPr>
            <w:r>
              <w:t xml:space="preserve">利用率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项目完成率</w:t>
            </w:r>
          </w:p>
        </w:tc>
        <w:tc>
          <w:tcPr>
            <w:tcW w:w="5386" w:type="dxa"/>
            <w:vAlign w:val="center"/>
          </w:tcPr>
          <w:p>
            <w:pPr>
              <w:pStyle w:val="单元格样式2"/>
            </w:pPr>
            <w:r>
              <w:t xml:space="preserve">项目完成率</w:t>
            </w:r>
          </w:p>
        </w:tc>
        <w:tc>
          <w:tcPr>
            <w:tcW w:w="2268" w:type="dxa"/>
            <w:vAlign w:val="center"/>
          </w:tcPr>
          <w:p>
            <w:pPr>
              <w:pStyle w:val="单元格样式2"/>
            </w:pPr>
            <w:r>
              <w:t xml:space="preserve">≥90%</w:t>
            </w:r>
          </w:p>
        </w:tc>
        <w:tc>
          <w:tcPr>
            <w:tcW w:w="1276" w:type="dxa"/>
            <w:vAlign w:val="center"/>
          </w:tcPr>
          <w:p>
            <w:pPr>
              <w:pStyle w:val="单元格样式2"/>
            </w:pPr>
            <w:r>
              <w:t xml:space="preserve">完成率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服务受益对象满意度</w:t>
            </w:r>
          </w:p>
        </w:tc>
        <w:tc>
          <w:tcPr>
            <w:tcW w:w="5386" w:type="dxa"/>
            <w:vAlign w:val="center"/>
          </w:tcPr>
          <w:p>
            <w:pPr>
              <w:pStyle w:val="单元格样式2"/>
            </w:pPr>
            <w:r>
              <w:t xml:space="preserve">服务受益对象满意度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深泽县总工会（含所属单位）上年末固定资产金额为0.00万元（详见下表）。本年度拟购置固定资产总额为0.00万元，已按要求列入政府采购预算，详见政府采购预算表。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2026-02-24T15:08:51Z</dcterms:created>
  <dcterms:modified xsi:type="dcterms:W3CDTF">2026-02-24T15:08:51Z</dcterms:modified>
</cp:coreProperties>
</file>