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一、中共深泽县委机构编制委员会办公室本级收支预算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一、中共深泽县委机构编制委员会办公室本级收支预算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138.80</w:t>
            </w:r>
          </w:p>
        </w:tc>
        <w:tc>
          <w:tcPr>
            <w:tcW w:w="4535" w:type="dxa"/>
            <w:vAlign w:val="center"/>
          </w:tcPr>
          <w:p>
            <w:pPr>
              <w:pStyle w:val="12"/>
            </w:pPr>
            <w:r>
              <w:t>一、一般公共服务支出</w:t>
            </w:r>
          </w:p>
        </w:tc>
        <w:tc>
          <w:tcPr>
            <w:tcW w:w="2126" w:type="dxa"/>
            <w:vAlign w:val="center"/>
          </w:tcPr>
          <w:p>
            <w:pPr>
              <w:pStyle w:val="11"/>
            </w:pPr>
            <w:r>
              <w:t>108.71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138.80</w:t>
            </w:r>
          </w:p>
        </w:tc>
        <w:tc>
          <w:tcPr>
            <w:tcW w:w="4535" w:type="dxa"/>
            <w:vAlign w:val="center"/>
          </w:tcPr>
          <w:p>
            <w:pPr>
              <w:pStyle w:val="14"/>
            </w:pPr>
            <w:r>
              <w:t>本年支出合计</w:t>
            </w:r>
          </w:p>
        </w:tc>
        <w:tc>
          <w:tcPr>
            <w:tcW w:w="2126" w:type="dxa"/>
            <w:vAlign w:val="center"/>
          </w:tcPr>
          <w:p>
            <w:pPr>
              <w:pStyle w:val="15"/>
            </w:pPr>
            <w:r>
              <w:t>138.80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138.80</w:t>
            </w:r>
          </w:p>
        </w:tc>
        <w:tc>
          <w:tcPr>
            <w:tcW w:w="4535" w:type="dxa"/>
            <w:vAlign w:val="center"/>
          </w:tcPr>
          <w:p>
            <w:pPr>
              <w:pStyle w:val="14"/>
            </w:pPr>
            <w:r>
              <w:t>支出总计</w:t>
            </w:r>
          </w:p>
        </w:tc>
        <w:tc>
          <w:tcPr>
            <w:tcW w:w="2126" w:type="dxa"/>
            <w:vAlign w:val="center"/>
          </w:tcPr>
          <w:p>
            <w:pPr>
              <w:pStyle w:val="15"/>
            </w:pPr>
            <w:r>
              <w:t>138.80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138.80</w:t>
            </w:r>
          </w:p>
        </w:tc>
        <w:tc>
          <w:tcPr>
            <w:tcW w:w="1134" w:type="dxa"/>
            <w:vAlign w:val="center"/>
          </w:tcPr>
          <w:p>
            <w:pPr>
              <w:pStyle w:val="15"/>
            </w:pPr>
            <w:r>
              <w:t>138.80</w:t>
            </w:r>
          </w:p>
        </w:tc>
        <w:tc>
          <w:tcPr>
            <w:tcW w:w="1134" w:type="dxa"/>
            <w:vAlign w:val="center"/>
          </w:tcPr>
          <w:p>
            <w:pPr>
              <w:pStyle w:val="15"/>
            </w:pPr>
            <w:r>
              <w:t>138.80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r>
              <w:t>108.71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r>
              <w:t>13.52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r>
              <w:t>5.64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r>
              <w:t>10.93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138.80</w:t>
            </w:r>
          </w:p>
        </w:tc>
        <w:tc>
          <w:tcPr>
            <w:tcW w:w="1361" w:type="dxa"/>
            <w:vAlign w:val="center"/>
          </w:tcPr>
          <w:p>
            <w:pPr>
              <w:pStyle w:val="15"/>
            </w:pPr>
            <w:r>
              <w:t>138.80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108.71</w:t>
            </w:r>
          </w:p>
        </w:tc>
        <w:tc>
          <w:tcPr>
            <w:tcW w:w="1361" w:type="dxa"/>
            <w:vAlign w:val="center"/>
          </w:tcPr>
          <w:p>
            <w:pPr>
              <w:pStyle w:val="11"/>
            </w:pPr>
            <w:r>
              <w:t>108.71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108.71</w:t>
            </w:r>
          </w:p>
        </w:tc>
        <w:tc>
          <w:tcPr>
            <w:tcW w:w="1361" w:type="dxa"/>
            <w:vAlign w:val="center"/>
          </w:tcPr>
          <w:p>
            <w:pPr>
              <w:pStyle w:val="11"/>
            </w:pPr>
            <w:r>
              <w:t>108.71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108.71</w:t>
            </w:r>
          </w:p>
        </w:tc>
        <w:tc>
          <w:tcPr>
            <w:tcW w:w="1361" w:type="dxa"/>
            <w:vAlign w:val="center"/>
          </w:tcPr>
          <w:p>
            <w:pPr>
              <w:pStyle w:val="11"/>
            </w:pPr>
            <w:r>
              <w:t>108.71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13.52</w:t>
            </w: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13.52</w:t>
            </w: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13.52</w:t>
            </w:r>
          </w:p>
        </w:tc>
        <w:tc>
          <w:tcPr>
            <w:tcW w:w="1361" w:type="dxa"/>
            <w:vAlign w:val="center"/>
          </w:tcPr>
          <w:p>
            <w:pPr>
              <w:pStyle w:val="11"/>
            </w:pPr>
            <w:r>
              <w:t>13.52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5.64</w:t>
            </w:r>
          </w:p>
        </w:tc>
        <w:tc>
          <w:tcPr>
            <w:tcW w:w="1361" w:type="dxa"/>
            <w:vAlign w:val="center"/>
          </w:tcPr>
          <w:p>
            <w:pPr>
              <w:pStyle w:val="11"/>
            </w:pPr>
            <w:r>
              <w:t>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5.64</w:t>
            </w:r>
          </w:p>
        </w:tc>
        <w:tc>
          <w:tcPr>
            <w:tcW w:w="1361" w:type="dxa"/>
            <w:vAlign w:val="center"/>
          </w:tcPr>
          <w:p>
            <w:pPr>
              <w:pStyle w:val="11"/>
            </w:pPr>
            <w:r>
              <w:t>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5.64</w:t>
            </w:r>
          </w:p>
        </w:tc>
        <w:tc>
          <w:tcPr>
            <w:tcW w:w="1361" w:type="dxa"/>
            <w:vAlign w:val="center"/>
          </w:tcPr>
          <w:p>
            <w:pPr>
              <w:pStyle w:val="11"/>
            </w:pPr>
            <w:r>
              <w:t>5.64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10.93</w:t>
            </w:r>
          </w:p>
        </w:tc>
        <w:tc>
          <w:tcPr>
            <w:tcW w:w="1361" w:type="dxa"/>
            <w:vAlign w:val="center"/>
          </w:tcPr>
          <w:p>
            <w:pPr>
              <w:pStyle w:val="11"/>
            </w:pPr>
            <w:r>
              <w:t>10.93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10.93</w:t>
            </w:r>
          </w:p>
        </w:tc>
        <w:tc>
          <w:tcPr>
            <w:tcW w:w="1361" w:type="dxa"/>
            <w:vAlign w:val="center"/>
          </w:tcPr>
          <w:p>
            <w:pPr>
              <w:pStyle w:val="11"/>
            </w:pPr>
            <w:r>
              <w:t>10.93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10.93</w:t>
            </w:r>
          </w:p>
        </w:tc>
        <w:tc>
          <w:tcPr>
            <w:tcW w:w="1361" w:type="dxa"/>
            <w:vAlign w:val="center"/>
          </w:tcPr>
          <w:p>
            <w:pPr>
              <w:pStyle w:val="11"/>
            </w:pPr>
            <w:r>
              <w:t>10.93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138.80</w:t>
            </w:r>
          </w:p>
        </w:tc>
        <w:tc>
          <w:tcPr>
            <w:tcW w:w="3402" w:type="dxa"/>
            <w:vAlign w:val="center"/>
          </w:tcPr>
          <w:p>
            <w:pPr>
              <w:pStyle w:val="12"/>
            </w:pPr>
            <w:r>
              <w:t>一、一般公共服务支出</w:t>
            </w:r>
          </w:p>
        </w:tc>
        <w:tc>
          <w:tcPr>
            <w:tcW w:w="1474" w:type="dxa"/>
            <w:vAlign w:val="center"/>
          </w:tcPr>
          <w:p>
            <w:pPr>
              <w:pStyle w:val="11"/>
            </w:pPr>
            <w:r>
              <w:t>108.71</w:t>
            </w:r>
          </w:p>
        </w:tc>
        <w:tc>
          <w:tcPr>
            <w:tcW w:w="1474" w:type="dxa"/>
            <w:vAlign w:val="center"/>
          </w:tcPr>
          <w:p>
            <w:pPr>
              <w:pStyle w:val="11"/>
            </w:pPr>
            <w:r>
              <w:t>108.71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13.52</w:t>
            </w:r>
          </w:p>
        </w:tc>
        <w:tc>
          <w:tcPr>
            <w:tcW w:w="1474" w:type="dxa"/>
            <w:vAlign w:val="center"/>
          </w:tcPr>
          <w:p>
            <w:pPr>
              <w:pStyle w:val="11"/>
            </w:pPr>
            <w:r>
              <w:t>13.52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5.64</w:t>
            </w:r>
          </w:p>
        </w:tc>
        <w:tc>
          <w:tcPr>
            <w:tcW w:w="1474" w:type="dxa"/>
            <w:vAlign w:val="center"/>
          </w:tcPr>
          <w:p>
            <w:pPr>
              <w:pStyle w:val="11"/>
            </w:pPr>
            <w:r>
              <w:t>5.64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10.93</w:t>
            </w:r>
          </w:p>
        </w:tc>
        <w:tc>
          <w:tcPr>
            <w:tcW w:w="1474" w:type="dxa"/>
            <w:vAlign w:val="center"/>
          </w:tcPr>
          <w:p>
            <w:pPr>
              <w:pStyle w:val="11"/>
            </w:pPr>
            <w:r>
              <w:t>10.93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138.80</w:t>
            </w:r>
          </w:p>
        </w:tc>
        <w:tc>
          <w:tcPr>
            <w:tcW w:w="3402" w:type="dxa"/>
            <w:vAlign w:val="center"/>
          </w:tcPr>
          <w:p>
            <w:pPr>
              <w:pStyle w:val="14"/>
            </w:pPr>
            <w:r>
              <w:t>本年支出合计</w:t>
            </w:r>
          </w:p>
        </w:tc>
        <w:tc>
          <w:tcPr>
            <w:tcW w:w="1474" w:type="dxa"/>
            <w:vAlign w:val="center"/>
          </w:tcPr>
          <w:p>
            <w:pPr>
              <w:pStyle w:val="15"/>
            </w:pPr>
            <w:r>
              <w:t>138.80</w:t>
            </w:r>
          </w:p>
        </w:tc>
        <w:tc>
          <w:tcPr>
            <w:tcW w:w="1474" w:type="dxa"/>
            <w:vAlign w:val="center"/>
          </w:tcPr>
          <w:p>
            <w:pPr>
              <w:pStyle w:val="15"/>
            </w:pPr>
            <w:r>
              <w:t>138.80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138.80</w:t>
            </w:r>
          </w:p>
        </w:tc>
        <w:tc>
          <w:tcPr>
            <w:tcW w:w="3402" w:type="dxa"/>
            <w:vAlign w:val="center"/>
          </w:tcPr>
          <w:p>
            <w:pPr>
              <w:pStyle w:val="14"/>
            </w:pPr>
            <w:r>
              <w:t>支出总计</w:t>
            </w:r>
          </w:p>
        </w:tc>
        <w:tc>
          <w:tcPr>
            <w:tcW w:w="1474" w:type="dxa"/>
            <w:vAlign w:val="center"/>
          </w:tcPr>
          <w:p>
            <w:pPr>
              <w:pStyle w:val="15"/>
            </w:pPr>
            <w:r>
              <w:t>138.80</w:t>
            </w:r>
          </w:p>
        </w:tc>
        <w:tc>
          <w:tcPr>
            <w:tcW w:w="1474" w:type="dxa"/>
            <w:vAlign w:val="center"/>
          </w:tcPr>
          <w:p>
            <w:pPr>
              <w:pStyle w:val="15"/>
            </w:pPr>
            <w:r>
              <w:t>138.80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138.80</w:t>
            </w:r>
          </w:p>
        </w:tc>
        <w:tc>
          <w:tcPr>
            <w:tcW w:w="2551" w:type="dxa"/>
            <w:vAlign w:val="center"/>
          </w:tcPr>
          <w:p>
            <w:pPr>
              <w:pStyle w:val="15"/>
            </w:pPr>
            <w:r>
              <w:t>138.80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108.71</w:t>
            </w:r>
          </w:p>
        </w:tc>
        <w:tc>
          <w:tcPr>
            <w:tcW w:w="2551" w:type="dxa"/>
            <w:vAlign w:val="center"/>
          </w:tcPr>
          <w:p>
            <w:pPr>
              <w:pStyle w:val="11"/>
            </w:pPr>
            <w:r>
              <w:t>108.71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108.71</w:t>
            </w:r>
          </w:p>
        </w:tc>
        <w:tc>
          <w:tcPr>
            <w:tcW w:w="2551" w:type="dxa"/>
            <w:vAlign w:val="center"/>
          </w:tcPr>
          <w:p>
            <w:pPr>
              <w:pStyle w:val="11"/>
            </w:pPr>
            <w:r>
              <w:t>108.71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108.71</w:t>
            </w:r>
          </w:p>
        </w:tc>
        <w:tc>
          <w:tcPr>
            <w:tcW w:w="2551" w:type="dxa"/>
            <w:vAlign w:val="center"/>
          </w:tcPr>
          <w:p>
            <w:pPr>
              <w:pStyle w:val="11"/>
            </w:pPr>
            <w:r>
              <w:t>108.71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13.52</w:t>
            </w:r>
          </w:p>
        </w:tc>
        <w:tc>
          <w:tcPr>
            <w:tcW w:w="2551" w:type="dxa"/>
            <w:vAlign w:val="center"/>
          </w:tcPr>
          <w:p>
            <w:pPr>
              <w:pStyle w:val="11"/>
            </w:pPr>
            <w:r>
              <w:t>13.52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13.52</w:t>
            </w:r>
          </w:p>
        </w:tc>
        <w:tc>
          <w:tcPr>
            <w:tcW w:w="2551" w:type="dxa"/>
            <w:vAlign w:val="center"/>
          </w:tcPr>
          <w:p>
            <w:pPr>
              <w:pStyle w:val="11"/>
            </w:pPr>
            <w:r>
              <w:t>13.52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13.52</w:t>
            </w:r>
          </w:p>
        </w:tc>
        <w:tc>
          <w:tcPr>
            <w:tcW w:w="2551" w:type="dxa"/>
            <w:vAlign w:val="center"/>
          </w:tcPr>
          <w:p>
            <w:pPr>
              <w:pStyle w:val="11"/>
            </w:pPr>
            <w:r>
              <w:t>13.52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5.64</w:t>
            </w:r>
          </w:p>
        </w:tc>
        <w:tc>
          <w:tcPr>
            <w:tcW w:w="2551" w:type="dxa"/>
            <w:vAlign w:val="center"/>
          </w:tcPr>
          <w:p>
            <w:pPr>
              <w:pStyle w:val="11"/>
            </w:pPr>
            <w:r>
              <w:t>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5.64</w:t>
            </w:r>
          </w:p>
        </w:tc>
        <w:tc>
          <w:tcPr>
            <w:tcW w:w="2551" w:type="dxa"/>
            <w:vAlign w:val="center"/>
          </w:tcPr>
          <w:p>
            <w:pPr>
              <w:pStyle w:val="11"/>
            </w:pPr>
            <w:r>
              <w:t>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5.64</w:t>
            </w:r>
          </w:p>
        </w:tc>
        <w:tc>
          <w:tcPr>
            <w:tcW w:w="2551" w:type="dxa"/>
            <w:vAlign w:val="center"/>
          </w:tcPr>
          <w:p>
            <w:pPr>
              <w:pStyle w:val="11"/>
            </w:pPr>
            <w:r>
              <w:t>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138.80</w:t>
            </w:r>
          </w:p>
        </w:tc>
        <w:tc>
          <w:tcPr>
            <w:tcW w:w="2551" w:type="dxa"/>
            <w:vAlign w:val="center"/>
          </w:tcPr>
          <w:p>
            <w:pPr>
              <w:pStyle w:val="15"/>
            </w:pPr>
            <w:r>
              <w:t>129.94</w:t>
            </w:r>
          </w:p>
        </w:tc>
        <w:tc>
          <w:tcPr>
            <w:tcW w:w="2551" w:type="dxa"/>
            <w:vAlign w:val="center"/>
          </w:tcPr>
          <w:p>
            <w:pPr>
              <w:pStyle w:val="15"/>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125.44</w:t>
            </w:r>
          </w:p>
        </w:tc>
        <w:tc>
          <w:tcPr>
            <w:tcW w:w="2551" w:type="dxa"/>
            <w:vAlign w:val="center"/>
          </w:tcPr>
          <w:p>
            <w:pPr>
              <w:pStyle w:val="11"/>
            </w:pPr>
            <w:r>
              <w:t>125.44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54.29</w:t>
            </w:r>
          </w:p>
        </w:tc>
        <w:tc>
          <w:tcPr>
            <w:tcW w:w="2551" w:type="dxa"/>
            <w:vAlign w:val="center"/>
          </w:tcPr>
          <w:p>
            <w:pPr>
              <w:pStyle w:val="11"/>
            </w:pPr>
            <w:r>
              <w:t>54.29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11.12</w:t>
            </w:r>
          </w:p>
        </w:tc>
        <w:tc>
          <w:tcPr>
            <w:tcW w:w="2551" w:type="dxa"/>
            <w:vAlign w:val="center"/>
          </w:tcPr>
          <w:p>
            <w:pPr>
              <w:pStyle w:val="11"/>
            </w:pPr>
            <w:r>
              <w:t>11.12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15.54</w:t>
            </w:r>
          </w:p>
        </w:tc>
        <w:tc>
          <w:tcPr>
            <w:tcW w:w="2551" w:type="dxa"/>
            <w:vAlign w:val="center"/>
          </w:tcPr>
          <w:p>
            <w:pPr>
              <w:pStyle w:val="11"/>
            </w:pPr>
            <w:r>
              <w:t>15.54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13.86</w:t>
            </w:r>
          </w:p>
        </w:tc>
        <w:tc>
          <w:tcPr>
            <w:tcW w:w="2551" w:type="dxa"/>
            <w:vAlign w:val="center"/>
          </w:tcPr>
          <w:p>
            <w:pPr>
              <w:pStyle w:val="11"/>
            </w:pPr>
            <w:r>
              <w:t>13.86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13.52</w:t>
            </w:r>
          </w:p>
        </w:tc>
        <w:tc>
          <w:tcPr>
            <w:tcW w:w="2551" w:type="dxa"/>
            <w:vAlign w:val="center"/>
          </w:tcPr>
          <w:p>
            <w:pPr>
              <w:pStyle w:val="11"/>
            </w:pPr>
            <w:r>
              <w:t>13.52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5.64</w:t>
            </w:r>
          </w:p>
        </w:tc>
        <w:tc>
          <w:tcPr>
            <w:tcW w:w="2551" w:type="dxa"/>
            <w:vAlign w:val="center"/>
          </w:tcPr>
          <w:p>
            <w:pPr>
              <w:pStyle w:val="11"/>
            </w:pPr>
            <w:r>
              <w:t>5.64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0.54</w:t>
            </w:r>
          </w:p>
        </w:tc>
        <w:tc>
          <w:tcPr>
            <w:tcW w:w="2551" w:type="dxa"/>
            <w:vAlign w:val="center"/>
          </w:tcPr>
          <w:p>
            <w:pPr>
              <w:pStyle w:val="11"/>
            </w:pPr>
            <w:r>
              <w:t>0.54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10.93</w:t>
            </w:r>
          </w:p>
        </w:tc>
        <w:tc>
          <w:tcPr>
            <w:tcW w:w="2551" w:type="dxa"/>
            <w:vAlign w:val="center"/>
          </w:tcPr>
          <w:p>
            <w:pPr>
              <w:pStyle w:val="11"/>
            </w:pPr>
            <w:r>
              <w:t>10.93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8.86</w:t>
            </w:r>
          </w:p>
        </w:tc>
        <w:tc>
          <w:tcPr>
            <w:tcW w:w="2551" w:type="dxa"/>
            <w:vAlign w:val="center"/>
          </w:tcPr>
          <w:p>
            <w:pPr>
              <w:pStyle w:val="11"/>
            </w:pPr>
          </w:p>
        </w:tc>
        <w:tc>
          <w:tcPr>
            <w:tcW w:w="2551"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3.39</w:t>
            </w:r>
          </w:p>
        </w:tc>
        <w:tc>
          <w:tcPr>
            <w:tcW w:w="2551" w:type="dxa"/>
            <w:vAlign w:val="center"/>
          </w:tcPr>
          <w:p>
            <w:pPr>
              <w:pStyle w:val="11"/>
            </w:pPr>
          </w:p>
        </w:tc>
        <w:tc>
          <w:tcPr>
            <w:tcW w:w="2551" w:type="dxa"/>
            <w:vAlign w:val="center"/>
          </w:tcPr>
          <w:p>
            <w:pPr>
              <w:pStyle w:val="11"/>
            </w:pPr>
            <w:r>
              <w:t>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4.56</w:t>
            </w:r>
          </w:p>
        </w:tc>
        <w:tc>
          <w:tcPr>
            <w:tcW w:w="2551" w:type="dxa"/>
            <w:vAlign w:val="center"/>
          </w:tcPr>
          <w:p>
            <w:pPr>
              <w:pStyle w:val="11"/>
            </w:pPr>
          </w:p>
        </w:tc>
        <w:tc>
          <w:tcPr>
            <w:tcW w:w="2551" w:type="dxa"/>
            <w:vAlign w:val="center"/>
          </w:tcPr>
          <w:p>
            <w:pPr>
              <w:pStyle w:val="11"/>
            </w:pPr>
            <w:r>
              <w:t>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4.50</w:t>
            </w:r>
          </w:p>
        </w:tc>
        <w:tc>
          <w:tcPr>
            <w:tcW w:w="2551" w:type="dxa"/>
            <w:vAlign w:val="center"/>
          </w:tcPr>
          <w:p>
            <w:pPr>
              <w:pStyle w:val="11"/>
            </w:pPr>
            <w:r>
              <w:t>4.50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中共深泽县委机构编制委员会办公室本级2026年单位预算信息公开情况说明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按照《中华人民共和国预算法》、《地方预决算公开操作规程》和《关于进一步推进预算公开工作的实施意见》规定，现将中共深泽县委机构编制委员会办公室本级2026年单位预算公开如下：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根据《中共深泽县委机构编制委员会办公室职能配置、内设机构和人员编制规定》，中共深泽县委机构编制委员会办公室的主要职责是：</w:t>
      </w:r>
    </w:p>
    <w:p>
      <w:pPr>
        <w:pStyle w:val="17"/>
      </w:pPr>
      <w:r>
        <w:t>（一）贯彻落实党中央和省市委关于行政管理体制和机构改革以及机构编制管理的政策法规，拟订相关制度、措施等规范性文件并监督实施。管理和指导县纪委监察机关及其派驻纪检监察组、县委各机关、县人大常委会机关、县政府各部门、县政协机关、人民团体县级机关（以下简称“党政群机关”），以及事业单位机构编制工作。组织开展行政管理体制改革、事业单位管理体制改革及机构编制工作基础性、创新性和前瞻性研究。</w:t>
      </w:r>
    </w:p>
    <w:p>
      <w:pPr>
        <w:pStyle w:val="17"/>
      </w:pPr>
      <w:r>
        <w:t>（二）组织拟订全县行政管理体制改革和县委、县政府机构改革方案并组织实施。负责全县行政管理体制和机构改革以及机构编制管理工作；负责行政执法体制改革工作。</w:t>
      </w:r>
    </w:p>
    <w:p>
      <w:pPr>
        <w:pStyle w:val="17"/>
      </w:pPr>
      <w:r>
        <w:t>（三）按照规定权限，负责县级党政群机关以及部门派出机构的职能配置、机构设置、人员编制和领导职数管理工作；负责协调县委、县政府各部门职能配置及其调整，协调县委、县政府各部门之间以及行政部门和乡镇之间职责分工；负责需要承办的省以下垂直管理部门或双重管理部门（单位）机构编制有关工作。</w:t>
      </w:r>
    </w:p>
    <w:p>
      <w:pPr>
        <w:pStyle w:val="17"/>
      </w:pPr>
      <w:r>
        <w:t>（四）组织拟订全县事业单位管理体制改革和机构改革方案。拟订各类事业单位人员编制管理办法并组织实施。按照管理权限，负责县委、县政府直属事业单位和部门所属事业单位的职能配置、机构设置、人员编制和领导职数管理工作。</w:t>
      </w:r>
    </w:p>
    <w:p>
      <w:pPr>
        <w:pStyle w:val="17"/>
      </w:pPr>
      <w:r>
        <w:t>（五）指导各部门、乡镇的行政管理体制改革、事业单位管理体制改革和机构改革工作，审核机构改革方案。审核各部门、乡镇机构编制分类；负责全县党政群机关行政机构、事业单位和新设事业单位机构编制管理工作。</w:t>
      </w:r>
    </w:p>
    <w:p>
      <w:pPr>
        <w:pStyle w:val="17"/>
      </w:pPr>
      <w:r>
        <w:t>（六）负责全县党政群机关统一社会信用代码管理工作，负责全县事业单位法人管理和监督检查工作。</w:t>
      </w:r>
    </w:p>
    <w:p>
      <w:pPr>
        <w:pStyle w:val="17"/>
      </w:pPr>
      <w:r>
        <w:t>（七）负责全县开发区（园区）行政管理体制改革工作。组织拟订开发区（园区）机构编制管理办法并组织实施；负责全县开发区（园区）职能配置、机构设置、人员编制和领导职数审核及上报工作。</w:t>
      </w:r>
    </w:p>
    <w:p>
      <w:pPr>
        <w:pStyle w:val="17"/>
      </w:pPr>
      <w:r>
        <w:t>（八）负责全县机构编制的总量控制、动态管理。组织拟订县本级年度编制使用计划，审核县直及乡镇机关事业单位招录、招聘和政策性安置等用编计划；负责全县机关事业单位编制使用核准；负责机构编制实名制管理工作；建立健全机构编制部门与有关部门的协调配合约束机制。</w:t>
      </w:r>
    </w:p>
    <w:p>
      <w:pPr>
        <w:pStyle w:val="17"/>
      </w:pPr>
      <w:r>
        <w:t>（九）负责跟踪评估、监督检查全县各级行政、事业单位管理体制改革、机构改革及机构编制政策执行情况；负责受理违反机构编制法规、纪律的检举、控告和投诉，对违反机构编制法规、纪律问题进行调查处理。</w:t>
      </w:r>
    </w:p>
    <w:p>
      <w:pPr>
        <w:pStyle w:val="17"/>
      </w:pPr>
      <w:r>
        <w:t>（十）负责全县机构编制电子政务和信息化工作。负责全县机构编制统计工作；负责机构编制网站的管理、使用和维护；负责党政群机关、事业单位和其他非营利性单位网上名称管理工作。</w:t>
      </w:r>
    </w:p>
    <w:p>
      <w:pPr>
        <w:pStyle w:val="17"/>
      </w:pPr>
      <w:r>
        <w:t>（十一）完成县委、县政府和县委机构编制委员会交办的其他任务。</w:t>
      </w:r>
    </w:p>
    <w:p>
      <w:pPr>
        <w:pStyle w:val="17"/>
      </w:pPr>
      <w:r>
        <w:t>（十二）有关职责分工。</w:t>
      </w:r>
    </w:p>
    <w:p>
      <w:pPr>
        <w:pStyle w:val="17"/>
      </w:pPr>
      <w:r>
        <w:t>县委编办负责全县公益类事业单位管理体制改革工作。县发展和改革局负责生产经营类事业单位管理体制改革工作。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中共深泽县委机构编制委员会办公室本级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138.80万元，其中：一般公共预算收入138.80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深泽县委机构编制委员会办公室本级年度单位预算中支出预算的总体情况。2026年支出预算138.80万元，其中基本支出138.80万元，包括人员经费129.94万元和日常公用经费8.86万元；项目支出0.00万元，主要为工作需要人员减少和日常公用经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138.80万元，较2025年预算减少23.64万元，其中：基本支出减少18.64万元，主要为工作需要人员减少和日常公用经费等.项目支出减少5.00万元，主要为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8.86</w:t>
      </w:r>
      <w:r>
        <w:t>万元，主要用于日常维修、办公用房水电费、办公用房取暖费、办公用房物业管理费等日常运行支出。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18"/>
      </w:pPr>
      <w:r>
        <w:t>202</w:t>
      </w:r>
      <w:r>
        <w:rPr>
          <w:rFonts w:hint="eastAsia"/>
          <w:lang w:val="en-US" w:eastAsia="zh-CN"/>
        </w:rPr>
        <w:t>6</w:t>
      </w:r>
      <w:r>
        <w:t>年，我</w:t>
      </w:r>
      <w:r>
        <w:rPr>
          <w:rFonts w:hint="eastAsia"/>
          <w:lang w:val="en-US" w:eastAsia="zh-CN"/>
        </w:rPr>
        <w:t>单位</w:t>
      </w:r>
      <w:bookmarkStart w:id="1" w:name="_GoBack"/>
      <w:bookmarkEnd w:id="1"/>
      <w:r>
        <w:t>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年相比增加0.00万元，增减变化的主要原因是无“三公”经费。</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jc w:val="left"/>
        <w:outlineLvl w:val="5"/>
        <w:rPr>
          <w:rFonts w:ascii="黑体" w:hAnsi="黑体" w:eastAsia="黑体" w:cs="黑体"/>
          <w:color w:val="000000"/>
          <w:sz w:val="32"/>
        </w:rPr>
      </w:pPr>
    </w:p>
    <w:p>
      <w:pPr>
        <w:numPr>
          <w:numId w:val="0"/>
        </w:numPr>
        <w:spacing w:before="10" w:after="10" w:line="240" w:lineRule="auto"/>
        <w:ind w:firstLine="640" w:firstLineChars="200"/>
        <w:jc w:val="left"/>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我单位无项目预算安排情况及绩效目标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中共深泽县委机构编制委员会办公室本级小计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0.20</w:t>
            </w:r>
          </w:p>
        </w:tc>
        <w:tc>
          <w:tcPr>
            <w:tcW w:w="964" w:type="dxa"/>
            <w:vAlign w:val="center"/>
          </w:tcPr>
          <w:p>
            <w:pPr>
              <w:pStyle w:val="15"/>
            </w:pPr>
            <w:r>
              <w:t>0.20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4.30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0.20</w:t>
            </w:r>
          </w:p>
        </w:tc>
        <w:tc>
          <w:tcPr>
            <w:tcW w:w="964" w:type="dxa"/>
            <w:vAlign w:val="center"/>
          </w:tcPr>
          <w:p>
            <w:pPr>
              <w:pStyle w:val="11"/>
            </w:pPr>
            <w:r>
              <w:t>0.20</w:t>
            </w:r>
          </w:p>
        </w:tc>
        <w:tc>
          <w:tcPr>
            <w:tcW w:w="964" w:type="dxa"/>
            <w:vAlign w:val="center"/>
          </w:tcPr>
          <w:p>
            <w:pPr>
              <w:pStyle w:val="11"/>
            </w:pPr>
            <w:r>
              <w:t>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中共深泽县委机构编制委员会办公室本级上年末固定资产金额为20.87万元（详见下表）。本年度拟购置固定资产总额为0.00万元，已按要求列入政府采购预算，详见政府采购预算表。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225001中共深泽县委机构编制委员会办公室本级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82</w:t>
            </w:r>
          </w:p>
        </w:tc>
        <w:tc>
          <w:tcPr>
            <w:tcW w:w="2835" w:type="dxa"/>
            <w:vAlign w:val="center"/>
          </w:tcPr>
          <w:p>
            <w:pPr>
              <w:pStyle w:val="11"/>
            </w:pPr>
            <w:r>
              <w:t>20.87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26DDF78"/>
    <w:multiLevelType w:val="singleLevel"/>
    <w:tmpl w:val="526DDF78"/>
    <w:lvl w:ilvl="0" w:tentative="0">
      <w:start w:val="4"/>
      <w:numFmt w:val="chineseCounting"/>
      <w:suff w:val="nothing"/>
      <w:lvlText w:val="%1、"/>
      <w:lvlJc w:val="left"/>
      <w:rPr>
        <w:rFonts w:hint="eastAsia"/>
      </w:rPr>
    </w:lvl>
  </w:abstractNum>
  <w:abstractNum w:abstractNumId="1">
    <w:nsid w:val="69F05DD4"/>
    <w:multiLevelType w:val="singleLevel"/>
    <w:tmpl w:val="69F05DD4"/>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QyMDI4Y2RjYWE1NmIwOTA4Mzg0ZGU5ODczMTQ2MjUifQ=="/>
  </w:docVars>
  <w:rsids>
    <w:rsidRoot w:val="00000000"/>
    <w:rsid w:val="159D25E0"/>
    <w:rsid w:val="17837BA7"/>
    <w:rsid w:val="1DFF4C9A"/>
    <w:rsid w:val="2D60735C"/>
    <w:rsid w:val="31894DB4"/>
    <w:rsid w:val="327D17AF"/>
    <w:rsid w:val="42DC702D"/>
    <w:rsid w:val="52A40B8F"/>
    <w:rsid w:val="605D3525"/>
    <w:rsid w:val="7A5672EF"/>
    <w:rsid w:val="7CCC544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5690</Words>
  <Characters>6816</Characters>
  <TotalTime>1</TotalTime>
  <ScaleCrop>false</ScaleCrop>
  <LinksUpToDate>false</LinksUpToDate>
  <CharactersWithSpaces>6921</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2026-02-10T16:10:00Z</dcterms:created>
  <dc:creator>lenovo</dc:creator>
  <cp:lastModifiedBy>lenovo</cp:lastModifiedBy>
  <dcterms:modified xsi:type="dcterms:W3CDTF">2026-02-10T08:37:41Z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6283312B9D1F4FBAAF863E97882EF8A7</vt:lpwstr>
  </property>
</Properties>
</file>