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一、中共深泽县委统一战线工作部本级收支预算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一、中共深泽县委统一战线工作部本级收支预算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130.66</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105.76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11.22</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4.61</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9.07</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130.66</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130.66</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130.66</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130.66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130.66</w:t>
            </w:r>
          </w:p>
        </w:tc>
        <w:tc>
          <w:tcPr>
            <w:tcW w:w="1134" w:type="dxa"/>
            <w:tcBorders>
              <w:left w:val="single" w:sz="6" w:space="0" w:color="000000"/>
              <w:right w:val="single" w:sz="6" w:space="0" w:color="000000"/>
            </w:tcBorders>
            <w:vAlign w:val="center"/>
          </w:tcPr>
          <w:p>
            <w:pPr>
              <w:pStyle w:val="23"/>
            </w:pPr>
            <w:r>
              <w:t>130.66</w:t>
            </w:r>
          </w:p>
        </w:tc>
        <w:tc>
          <w:tcPr>
            <w:tcW w:w="1134" w:type="dxa"/>
            <w:tcBorders>
              <w:left w:val="single" w:sz="6" w:space="0" w:color="000000"/>
              <w:right w:val="single" w:sz="6" w:space="0" w:color="000000"/>
            </w:tcBorders>
            <w:vAlign w:val="center"/>
          </w:tcPr>
          <w:p>
            <w:pPr>
              <w:pStyle w:val="23"/>
            </w:pPr>
            <w:r>
              <w:t>130.66</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20134</w:t>
            </w:r>
          </w:p>
        </w:tc>
        <w:tc>
          <w:tcPr>
            <w:tcW w:w="1559" w:type="dxa"/>
            <w:tcBorders>
              <w:left w:val="single" w:sz="6" w:space="0" w:color="000000"/>
              <w:right w:val="single" w:sz="6" w:space="0" w:color="000000"/>
            </w:tcBorders>
            <w:vAlign w:val="center"/>
          </w:tcPr>
          <w:p>
            <w:pPr>
              <w:pStyle w:val="20"/>
            </w:pPr>
            <w:r>
              <w:t>统战事务</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2013401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105.64</w:t>
            </w:r>
          </w:p>
        </w:tc>
        <w:tc>
          <w:tcPr>
            <w:tcW w:w="1134" w:type="dxa"/>
            <w:tcBorders>
              <w:left w:val="single" w:sz="6" w:space="0" w:color="000000"/>
              <w:right w:val="single" w:sz="6" w:space="0" w:color="000000"/>
            </w:tcBorders>
            <w:vAlign w:val="center"/>
          </w:tcPr>
          <w:p>
            <w:pPr>
              <w:pStyle w:val="19"/>
            </w:pPr>
            <w:r>
              <w:t>105.64</w:t>
            </w:r>
          </w:p>
        </w:tc>
        <w:tc>
          <w:tcPr>
            <w:tcW w:w="1134" w:type="dxa"/>
            <w:tcBorders>
              <w:left w:val="single" w:sz="6" w:space="0" w:color="000000"/>
              <w:right w:val="single" w:sz="6" w:space="0" w:color="000000"/>
            </w:tcBorders>
            <w:vAlign w:val="center"/>
          </w:tcPr>
          <w:p>
            <w:pPr>
              <w:pStyle w:val="19"/>
            </w:pPr>
            <w:r>
              <w:t>105.64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2013402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0.12</w:t>
            </w:r>
          </w:p>
        </w:tc>
        <w:tc>
          <w:tcPr>
            <w:tcW w:w="1134" w:type="dxa"/>
            <w:tcBorders>
              <w:left w:val="single" w:sz="6" w:space="0" w:color="000000"/>
              <w:right w:val="single" w:sz="6" w:space="0" w:color="000000"/>
            </w:tcBorders>
            <w:vAlign w:val="center"/>
          </w:tcPr>
          <w:p>
            <w:pPr>
              <w:pStyle w:val="19"/>
            </w:pPr>
            <w:r>
              <w:t>0.12</w:t>
            </w:r>
          </w:p>
        </w:tc>
        <w:tc>
          <w:tcPr>
            <w:tcW w:w="1134" w:type="dxa"/>
            <w:tcBorders>
              <w:left w:val="single" w:sz="6" w:space="0" w:color="000000"/>
              <w:right w:val="single" w:sz="6" w:space="0" w:color="000000"/>
            </w:tcBorders>
            <w:vAlign w:val="center"/>
          </w:tcPr>
          <w:p>
            <w:pPr>
              <w:pStyle w:val="19"/>
            </w:pPr>
            <w:r>
              <w:t>0.12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130.66</w:t>
            </w:r>
          </w:p>
        </w:tc>
        <w:tc>
          <w:tcPr>
            <w:tcW w:w="1361" w:type="dxa"/>
            <w:tcBorders>
              <w:left w:val="single" w:sz="6" w:space="0" w:color="000000"/>
              <w:right w:val="single" w:sz="6" w:space="0" w:color="000000"/>
            </w:tcBorders>
            <w:vAlign w:val="center"/>
          </w:tcPr>
          <w:p>
            <w:pPr>
              <w:pStyle w:val="23"/>
            </w:pPr>
            <w:r>
              <w:t>130.54</w:t>
            </w:r>
          </w:p>
        </w:tc>
        <w:tc>
          <w:tcPr>
            <w:tcW w:w="1361" w:type="dxa"/>
            <w:tcBorders>
              <w:left w:val="single" w:sz="6" w:space="0" w:color="000000"/>
              <w:right w:val="single" w:sz="6" w:space="0" w:color="000000"/>
            </w:tcBorders>
            <w:vAlign w:val="center"/>
          </w:tcPr>
          <w:p>
            <w:pPr>
              <w:pStyle w:val="23"/>
            </w:pPr>
            <w:r>
              <w:t>0.12</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105.76</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20134</w:t>
            </w:r>
          </w:p>
        </w:tc>
        <w:tc>
          <w:tcPr>
            <w:tcW w:w="4535" w:type="dxa"/>
            <w:tcBorders>
              <w:left w:val="single" w:sz="6" w:space="0" w:color="000000"/>
              <w:right w:val="single" w:sz="6" w:space="0" w:color="000000"/>
            </w:tcBorders>
            <w:vAlign w:val="center"/>
          </w:tcPr>
          <w:p>
            <w:pPr>
              <w:pStyle w:val="20"/>
            </w:pPr>
            <w:r>
              <w:t>统战事务</w:t>
            </w:r>
          </w:p>
        </w:tc>
        <w:tc>
          <w:tcPr>
            <w:tcW w:w="1361" w:type="dxa"/>
            <w:tcBorders>
              <w:left w:val="single" w:sz="6" w:space="0" w:color="000000"/>
              <w:right w:val="single" w:sz="6" w:space="0" w:color="000000"/>
            </w:tcBorders>
            <w:vAlign w:val="center"/>
          </w:tcPr>
          <w:p>
            <w:pPr>
              <w:pStyle w:val="19"/>
            </w:pPr>
            <w:r>
              <w:t>105.76</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2013401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2013402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130.66</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105.76</w:t>
            </w:r>
          </w:p>
        </w:tc>
        <w:tc>
          <w:tcPr>
            <w:tcW w:w="1474" w:type="dxa"/>
            <w:tcBorders>
              <w:left w:val="single" w:sz="6" w:space="0" w:color="000000"/>
              <w:right w:val="single" w:sz="6" w:space="0" w:color="000000"/>
            </w:tcBorders>
            <w:vAlign w:val="center"/>
          </w:tcPr>
          <w:p>
            <w:pPr>
              <w:pStyle w:val="19"/>
            </w:pPr>
            <w:r>
              <w:t>105.76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11.22</w:t>
            </w:r>
          </w:p>
        </w:tc>
        <w:tc>
          <w:tcPr>
            <w:tcW w:w="1474" w:type="dxa"/>
            <w:tcBorders>
              <w:left w:val="single" w:sz="6" w:space="0" w:color="000000"/>
              <w:right w:val="single" w:sz="6" w:space="0" w:color="000000"/>
            </w:tcBorders>
            <w:vAlign w:val="center"/>
          </w:tcPr>
          <w:p>
            <w:pPr>
              <w:pStyle w:val="19"/>
            </w:pPr>
            <w:r>
              <w:t>11.22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4.61</w:t>
            </w:r>
          </w:p>
        </w:tc>
        <w:tc>
          <w:tcPr>
            <w:tcW w:w="1474" w:type="dxa"/>
            <w:tcBorders>
              <w:left w:val="single" w:sz="6" w:space="0" w:color="000000"/>
              <w:right w:val="single" w:sz="6" w:space="0" w:color="000000"/>
            </w:tcBorders>
            <w:vAlign w:val="center"/>
          </w:tcPr>
          <w:p>
            <w:pPr>
              <w:pStyle w:val="19"/>
            </w:pPr>
            <w:r>
              <w:t>4.61</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9.07</w:t>
            </w:r>
          </w:p>
        </w:tc>
        <w:tc>
          <w:tcPr>
            <w:tcW w:w="1474" w:type="dxa"/>
            <w:tcBorders>
              <w:left w:val="single" w:sz="6" w:space="0" w:color="000000"/>
              <w:right w:val="single" w:sz="6" w:space="0" w:color="000000"/>
            </w:tcBorders>
            <w:vAlign w:val="center"/>
          </w:tcPr>
          <w:p>
            <w:pPr>
              <w:pStyle w:val="19"/>
            </w:pPr>
            <w:r>
              <w:t>9.07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130.66</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130.66</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130.66</w:t>
            </w:r>
          </w:p>
        </w:tc>
        <w:tc>
          <w:tcPr>
            <w:tcW w:w="2551" w:type="dxa"/>
            <w:tcBorders>
              <w:left w:val="single" w:sz="6" w:space="0" w:color="000000"/>
              <w:right w:val="single" w:sz="6" w:space="0" w:color="000000"/>
            </w:tcBorders>
            <w:vAlign w:val="center"/>
          </w:tcPr>
          <w:p>
            <w:pPr>
              <w:pStyle w:val="23"/>
            </w:pPr>
            <w:r>
              <w:t>130.54</w:t>
            </w:r>
          </w:p>
        </w:tc>
        <w:tc>
          <w:tcPr>
            <w:tcW w:w="2551" w:type="dxa"/>
            <w:vAlign w:val="center"/>
          </w:tcPr>
          <w:p>
            <w:pPr>
              <w:pStyle w:val="23"/>
            </w:pPr>
            <w:r>
              <w:t>0.12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105.76</w:t>
            </w:r>
          </w:p>
        </w:tc>
        <w:tc>
          <w:tcPr>
            <w:tcW w:w="2551" w:type="dxa"/>
            <w:tcBorders>
              <w:left w:val="single" w:sz="6" w:space="0" w:color="000000"/>
              <w:right w:val="single" w:sz="6" w:space="0" w:color="000000"/>
            </w:tcBorders>
            <w:vAlign w:val="center"/>
          </w:tcPr>
          <w:p>
            <w:pPr>
              <w:pStyle w:val="19"/>
            </w:pPr>
            <w:r>
              <w:t>105.64</w:t>
            </w:r>
          </w:p>
        </w:tc>
        <w:tc>
          <w:tcPr>
            <w:tcW w:w="2551" w:type="dxa"/>
            <w:vAlign w:val="center"/>
          </w:tcPr>
          <w:p>
            <w:pPr>
              <w:pStyle w:val="19"/>
            </w:pPr>
            <w:r>
              <w:t>0.12</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20134</w:t>
            </w:r>
          </w:p>
        </w:tc>
        <w:tc>
          <w:tcPr>
            <w:tcW w:w="4535" w:type="dxa"/>
            <w:tcBorders>
              <w:left w:val="single" w:sz="6" w:space="0" w:color="000000"/>
              <w:right w:val="single" w:sz="6" w:space="0" w:color="000000"/>
            </w:tcBorders>
            <w:vAlign w:val="center"/>
          </w:tcPr>
          <w:p>
            <w:pPr>
              <w:pStyle w:val="20"/>
            </w:pPr>
            <w:r>
              <w:t>统战事务</w:t>
            </w:r>
          </w:p>
        </w:tc>
        <w:tc>
          <w:tcPr>
            <w:tcW w:w="2551" w:type="dxa"/>
            <w:tcBorders>
              <w:left w:val="single" w:sz="6" w:space="0" w:color="000000"/>
              <w:right w:val="single" w:sz="6" w:space="0" w:color="000000"/>
            </w:tcBorders>
            <w:vAlign w:val="center"/>
          </w:tcPr>
          <w:p>
            <w:pPr>
              <w:pStyle w:val="19"/>
            </w:pPr>
            <w:r>
              <w:t>105.76</w:t>
            </w:r>
          </w:p>
        </w:tc>
        <w:tc>
          <w:tcPr>
            <w:tcW w:w="2551" w:type="dxa"/>
            <w:tcBorders>
              <w:left w:val="single" w:sz="6" w:space="0" w:color="000000"/>
              <w:right w:val="single" w:sz="6" w:space="0" w:color="000000"/>
            </w:tcBorders>
            <w:vAlign w:val="center"/>
          </w:tcPr>
          <w:p>
            <w:pPr>
              <w:pStyle w:val="19"/>
            </w:pPr>
            <w:r>
              <w:t>105.64</w:t>
            </w:r>
          </w:p>
        </w:tc>
        <w:tc>
          <w:tcPr>
            <w:tcW w:w="2551" w:type="dxa"/>
            <w:vAlign w:val="center"/>
          </w:tcPr>
          <w:p>
            <w:pPr>
              <w:pStyle w:val="19"/>
            </w:pPr>
            <w:r>
              <w:t>0.12</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2013401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105.64</w:t>
            </w:r>
          </w:p>
        </w:tc>
        <w:tc>
          <w:tcPr>
            <w:tcW w:w="2551" w:type="dxa"/>
            <w:tcBorders>
              <w:left w:val="single" w:sz="6" w:space="0" w:color="000000"/>
              <w:right w:val="single" w:sz="6" w:space="0" w:color="000000"/>
            </w:tcBorders>
            <w:vAlign w:val="center"/>
          </w:tcPr>
          <w:p>
            <w:pPr>
              <w:pStyle w:val="19"/>
            </w:pPr>
            <w:r>
              <w:t>105.64</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2013402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0.12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130.54</w:t>
            </w:r>
          </w:p>
        </w:tc>
        <w:tc>
          <w:tcPr>
            <w:tcW w:w="2551" w:type="dxa"/>
            <w:tcBorders>
              <w:left w:val="single" w:sz="6" w:space="0" w:color="000000"/>
              <w:right w:val="single" w:sz="6" w:space="0" w:color="000000"/>
            </w:tcBorders>
            <w:vAlign w:val="center"/>
          </w:tcPr>
          <w:p>
            <w:pPr>
              <w:pStyle w:val="23"/>
            </w:pPr>
            <w:r>
              <w:t>115.19</w:t>
            </w:r>
          </w:p>
        </w:tc>
        <w:tc>
          <w:tcPr>
            <w:tcW w:w="2551" w:type="dxa"/>
            <w:vAlign w:val="center"/>
          </w:tcPr>
          <w:p>
            <w:pPr>
              <w:pStyle w:val="23"/>
            </w:pPr>
            <w:r>
              <w:t>15.35</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103.86</w:t>
            </w:r>
          </w:p>
        </w:tc>
        <w:tc>
          <w:tcPr>
            <w:tcW w:w="2551" w:type="dxa"/>
            <w:tcBorders>
              <w:left w:val="single" w:sz="6" w:space="0" w:color="000000"/>
              <w:right w:val="single" w:sz="6" w:space="0" w:color="000000"/>
            </w:tcBorders>
            <w:vAlign w:val="center"/>
          </w:tcPr>
          <w:p>
            <w:pPr>
              <w:pStyle w:val="19"/>
            </w:pPr>
            <w:r>
              <w:t>103.86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45.22</w:t>
            </w:r>
          </w:p>
        </w:tc>
        <w:tc>
          <w:tcPr>
            <w:tcW w:w="2551" w:type="dxa"/>
            <w:tcBorders>
              <w:left w:val="single" w:sz="6" w:space="0" w:color="000000"/>
              <w:right w:val="single" w:sz="6" w:space="0" w:color="000000"/>
            </w:tcBorders>
            <w:vAlign w:val="center"/>
          </w:tcPr>
          <w:p>
            <w:pPr>
              <w:pStyle w:val="19"/>
            </w:pPr>
            <w:r>
              <w:t>45.22</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9.61</w:t>
            </w:r>
          </w:p>
        </w:tc>
        <w:tc>
          <w:tcPr>
            <w:tcW w:w="2551" w:type="dxa"/>
            <w:tcBorders>
              <w:left w:val="single" w:sz="6" w:space="0" w:color="000000"/>
              <w:right w:val="single" w:sz="6" w:space="0" w:color="000000"/>
            </w:tcBorders>
            <w:vAlign w:val="center"/>
          </w:tcPr>
          <w:p>
            <w:pPr>
              <w:pStyle w:val="19"/>
            </w:pPr>
            <w:r>
              <w:t>9.61</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13.70</w:t>
            </w:r>
          </w:p>
        </w:tc>
        <w:tc>
          <w:tcPr>
            <w:tcW w:w="2551" w:type="dxa"/>
            <w:tcBorders>
              <w:left w:val="single" w:sz="6" w:space="0" w:color="000000"/>
              <w:right w:val="single" w:sz="6" w:space="0" w:color="000000"/>
            </w:tcBorders>
            <w:vAlign w:val="center"/>
          </w:tcPr>
          <w:p>
            <w:pPr>
              <w:pStyle w:val="19"/>
            </w:pPr>
            <w:r>
              <w:t>13.70</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10.13</w:t>
            </w:r>
          </w:p>
        </w:tc>
        <w:tc>
          <w:tcPr>
            <w:tcW w:w="2551" w:type="dxa"/>
            <w:tcBorders>
              <w:left w:val="single" w:sz="6" w:space="0" w:color="000000"/>
              <w:right w:val="single" w:sz="6" w:space="0" w:color="000000"/>
            </w:tcBorders>
            <w:vAlign w:val="center"/>
          </w:tcPr>
          <w:p>
            <w:pPr>
              <w:pStyle w:val="19"/>
            </w:pPr>
            <w:r>
              <w:t>10.13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0.30</w:t>
            </w:r>
          </w:p>
        </w:tc>
        <w:tc>
          <w:tcPr>
            <w:tcW w:w="2551" w:type="dxa"/>
            <w:tcBorders>
              <w:left w:val="single" w:sz="6" w:space="0" w:color="000000"/>
              <w:right w:val="single" w:sz="6" w:space="0" w:color="000000"/>
            </w:tcBorders>
            <w:vAlign w:val="center"/>
          </w:tcPr>
          <w:p>
            <w:pPr>
              <w:pStyle w:val="19"/>
            </w:pPr>
            <w:r>
              <w:t>0.30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15.35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15.35</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5.70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5.70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30202</w:t>
            </w:r>
          </w:p>
        </w:tc>
        <w:tc>
          <w:tcPr>
            <w:tcW w:w="4535" w:type="dxa"/>
            <w:tcBorders>
              <w:left w:val="single" w:sz="6" w:space="0" w:color="000000"/>
              <w:right w:val="single" w:sz="6" w:space="0" w:color="000000"/>
            </w:tcBorders>
            <w:vAlign w:val="center"/>
          </w:tcPr>
          <w:p>
            <w:pPr>
              <w:pStyle w:val="20"/>
            </w:pPr>
            <w:r>
              <w:t>印刷费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2.85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2.85</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4.80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11.33</w:t>
            </w:r>
          </w:p>
        </w:tc>
        <w:tc>
          <w:tcPr>
            <w:tcW w:w="2551" w:type="dxa"/>
            <w:tcBorders>
              <w:left w:val="single" w:sz="6" w:space="0" w:color="000000"/>
              <w:right w:val="single" w:sz="6" w:space="0" w:color="000000"/>
            </w:tcBorders>
            <w:vAlign w:val="center"/>
          </w:tcPr>
          <w:p>
            <w:pPr>
              <w:pStyle w:val="19"/>
            </w:pPr>
            <w:r>
              <w:t>11.33</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11.33</w:t>
            </w:r>
          </w:p>
        </w:tc>
        <w:tc>
          <w:tcPr>
            <w:tcW w:w="2551" w:type="dxa"/>
            <w:tcBorders>
              <w:left w:val="single" w:sz="6" w:space="0" w:color="000000"/>
              <w:right w:val="single" w:sz="6" w:space="0" w:color="000000"/>
            </w:tcBorders>
            <w:vAlign w:val="center"/>
          </w:tcPr>
          <w:p>
            <w:pPr>
              <w:pStyle w:val="19"/>
            </w:pPr>
            <w:r>
              <w:t>11.33</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2.85</w:t>
            </w:r>
          </w:p>
        </w:tc>
        <w:tc>
          <w:tcPr>
            <w:tcW w:w="2381" w:type="dxa"/>
            <w:tcBorders>
              <w:left w:val="single" w:sz="6" w:space="0" w:color="000000"/>
              <w:right w:val="single" w:sz="6" w:space="0" w:color="000000"/>
            </w:tcBorders>
            <w:vAlign w:val="center"/>
          </w:tcPr>
          <w:p>
            <w:pPr>
              <w:pStyle w:val="23"/>
            </w:pPr>
            <w:r>
              <w:t>2.85</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中共深泽县委统一战线工作部本级2026年单位预算信息公开情况说明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按照《中华人民共和国预算法》、《地方预决算公开操作规程》和《关于进一步推进预算公开工作的实施意见》规定，现将中共深泽县委统一战线工作部本级2026年单位预算公开如下：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25"/>
      </w:pPr>
      <w:r>
        <w:t>（二）开展统一战线理论研究，拟订统一战线工作的规范性文件并推动落实，深入调查研究，及时向县委报告统一战线工作情况并提出建议，统筹协调和指导各单位统一战线工作。</w:t>
      </w:r>
    </w:p>
    <w:p>
      <w:pPr>
        <w:pStyle w:val="25"/>
      </w:pPr>
      <w: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25"/>
      </w:pPr>
      <w:r>
        <w:t>（四）贯彻落实党的宣传工作方针，统筹推进全县统一战线宣传工作，拟订全县统一战线宣传工作规划并组织实施，研判涉及统一战线的舆情并协调有关部门应对处置。</w:t>
      </w:r>
    </w:p>
    <w:p>
      <w:pPr>
        <w:pStyle w:val="25"/>
      </w:pPr>
      <w:r>
        <w:t>（五）统一领导民族宗教工作，贯彻落实党的民族宗教工作方针和政策，协调处理民族宗教工作中的重大问题，归口领导县民族宗教事务局，全面促进民族宗教事业发展，维护全县民族宗教领域和谐稳定。</w:t>
      </w:r>
    </w:p>
    <w:p>
      <w:pPr>
        <w:pStyle w:val="25"/>
      </w:pPr>
      <w:r>
        <w:t>（六）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25"/>
      </w:pPr>
      <w:r>
        <w:t>（七）调查研究非公有制经济人士情况并提出政策建议，了解和反映非公有制经济人士的意见，团结、服务、引导、教育非公有制经济人士，促进非公有制经济健康发展和非公有制经济人士健康成长。</w:t>
      </w:r>
    </w:p>
    <w:p>
      <w:pPr>
        <w:pStyle w:val="25"/>
      </w:pPr>
      <w:r>
        <w:t>（八）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25"/>
      </w:pPr>
      <w:r>
        <w:t>（九）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25"/>
      </w:pPr>
      <w:r>
        <w:t>（十）负责全县涉台工作，贯彻执行党中央、国务院对台工作的方针政策。开展对台工作调查研究并结合我县实际提出对策和建议。组织、指导、管理、协调县委、县政府有关部门的对台工作;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县委县政府对台大型招商活动。协调、指导全县涉台金融、文化、学术、教育、科技、体育、卫生等领域的交流与合作及人员往来工作。负责我县赴台交流事项的报批和赴台交流人员的行前指导及归后总结工作;负责对台湾上层重点人士的联络和来我县台胞的接待服务工作。负责全县对台宣传和涉台教育工作。指导全县宣传媒体涉台新闻报道工作;负责全县有关涉台事务的新闻发布;协调、处理县内涉台重大事件;负责对全县对台工作干部的培训工作。指导各民主党派、县工商联和其他群众团体有关重点人士、重大活动方面的涉台工作。按中央有关规定，负责全县对台接触的组织实施。</w:t>
      </w:r>
    </w:p>
    <w:p>
      <w:pPr>
        <w:pStyle w:val="25"/>
      </w:pPr>
      <w:r>
        <w:t>（十一）指导各乡镇党委、县直有关单位党委（组）统一战线工作，负责有关单位统战工作负责人培训工作；协调政府有关部门统一战线工作；受县委委托，领导县工商联党组，指导县工商联工作；联系指导县侨联工作；做好统一战线有关单位和团体的管理工作。</w:t>
      </w:r>
    </w:p>
    <w:p>
      <w:pPr>
        <w:pStyle w:val="25"/>
      </w:pPr>
      <w:r>
        <w:t>（十二）完成县委交办的其他任务。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中共深泽县委统一战线工作部本级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130.66万元，其中：一般公共预算收入130.66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深泽县委统一战线工作部本级年度单位预算中支出预算的总体情况。2026年支出预算130.66万元，其中基本支出130.54万元，包括人员经费115.19万元和日常公用经费15.35万元；项目支出0.12万元，主要为预算单位人员增加及单位人员工资保险福利奖金增加，项目减少。因2025年项目支出有两个：一个是打造创建新联会基地，新联会经费3万元。一个是归侨退休职工生活补贴，保障退休归侨职工生活，0.12万元。2026年项目支出有一个：归侨退休职工生活补贴，保障退休归侨职工生活，0.12万元。所以2026年较2025年相比项目减少。</w:t>
      </w:r>
    </w:p>
    <w:p>
      <w:pPr>
        <w:pStyle w:val="26"/>
      </w:pPr>
      <w:r>
        <w:t>3、比上年增减情况</w:t>
      </w:r>
    </w:p>
    <w:p>
      <w:pPr>
        <w:pStyle w:val="26"/>
      </w:pPr>
      <w:r>
        <w:t>2026年预算收支安排130.66万元，较2025年预算增加1.01万元，其中：基本支出增加4.01万元，主要为预算单位人员增加及单位人员工资保险福利奖金增加。项目支出减少3.00万元，主要为项目减少。因2025年项目支出有两个：一个是打造创建新联会基地，新联会经费3万元。一个是归侨退休职工生活补贴，保障退休归侨职工生活，0.12万元。2026年项目支出有一个：归侨退休职工生活补贴，保障退休归侨职工生活，0.12万元。所以2026年较2025年相比项目减少。</w:t>
      </w:r>
      <w:bookmarkStart w:id="1" w:name="_GoBack"/>
      <w:bookmarkEnd w:id="1"/>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2026年，我单位机关运行经费共计安排15.35万元，主要用于日常维修、办公用房水电费、办公用房取暖费、办公用房物业管理费等日常运行支出。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2.85万元，其中因公出国（境）费0.00万元；公务用车购置及运维费2.85万元（其中：公务用车购置费为0.00万元，公务用车运维费2.85万元)；公务接待费0.00万元。与2025年相比减少0.15万元，增减变化的主要原因是认真贯彻落实中央八项规定精神和厉行节约要求，从严控制“三公”经费开支。</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1、2026年度归侨退休职工生活补贴绩效目标表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13012826P00098210002Q</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2026年度归侨退休职工生活补贴</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0.12</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0.12</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2026年度归侨退休职工生活补贴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0.12</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1.2026年度归侨退休职工生活补贴</w:t>
              <w:tab/>
              <w:tab/>
              <w:tab/>
              <w:tab/>
              <w:tab/>
              <w:tab/>
            </w: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补助金发放率</w:t>
            </w:r>
          </w:p>
        </w:tc>
        <w:tc>
          <w:tcPr>
            <w:tcW w:w="5386" w:type="dxa"/>
            <w:tcBorders>
              <w:left w:val="single" w:sz="6" w:space="0" w:color="000000"/>
              <w:right w:val="single" w:sz="6" w:space="0" w:color="000000"/>
            </w:tcBorders>
            <w:vAlign w:val="center"/>
          </w:tcPr>
          <w:p>
            <w:pPr>
              <w:pStyle w:val="20"/>
            </w:pPr>
            <w:r>
              <w:t>实际发放的补助金金额按计划发放</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高质量发放率</w:t>
            </w:r>
          </w:p>
        </w:tc>
        <w:tc>
          <w:tcPr>
            <w:tcW w:w="5386" w:type="dxa"/>
            <w:tcBorders>
              <w:left w:val="single" w:sz="6" w:space="0" w:color="000000"/>
              <w:right w:val="single" w:sz="6" w:space="0" w:color="000000"/>
            </w:tcBorders>
            <w:vAlign w:val="center"/>
          </w:tcPr>
          <w:p>
            <w:pPr>
              <w:pStyle w:val="20"/>
            </w:pPr>
            <w:r>
              <w:t>高质量发放率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发放到位率</w:t>
            </w:r>
          </w:p>
        </w:tc>
        <w:tc>
          <w:tcPr>
            <w:tcW w:w="5386" w:type="dxa"/>
            <w:tcBorders>
              <w:left w:val="single" w:sz="6" w:space="0" w:color="000000"/>
              <w:right w:val="single" w:sz="6" w:space="0" w:color="000000"/>
            </w:tcBorders>
            <w:vAlign w:val="center"/>
          </w:tcPr>
          <w:p>
            <w:pPr>
              <w:pStyle w:val="20"/>
            </w:pPr>
            <w:r>
              <w:t>发放到位率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按财政预算执行</w:t>
            </w:r>
          </w:p>
        </w:tc>
        <w:tc>
          <w:tcPr>
            <w:tcW w:w="5386" w:type="dxa"/>
            <w:tcBorders>
              <w:left w:val="single" w:sz="6" w:space="0" w:color="000000"/>
              <w:right w:val="single" w:sz="6" w:space="0" w:color="000000"/>
            </w:tcBorders>
            <w:vAlign w:val="center"/>
          </w:tcPr>
          <w:p>
            <w:pPr>
              <w:pStyle w:val="20"/>
            </w:pPr>
            <w:r>
              <w:t>按财政预算执行</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完成工作率</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经济效益</w:t>
            </w:r>
          </w:p>
        </w:tc>
        <w:tc>
          <w:tcPr>
            <w:tcW w:w="5386" w:type="dxa"/>
            <w:tcBorders>
              <w:left w:val="single" w:sz="6" w:space="0" w:color="000000"/>
              <w:right w:val="single" w:sz="6" w:space="0" w:color="000000"/>
            </w:tcBorders>
            <w:vAlign w:val="center"/>
          </w:tcPr>
          <w:p>
            <w:pPr>
              <w:pStyle w:val="20"/>
            </w:pPr>
            <w:r>
              <w:t>经济效益</w:t>
            </w:r>
          </w:p>
        </w:tc>
        <w:tc>
          <w:tcPr>
            <w:tcW w:w="2268" w:type="dxa"/>
            <w:tcBorders>
              <w:left w:val="single" w:sz="6" w:space="0" w:color="000000"/>
              <w:right w:val="single" w:sz="6" w:space="0" w:color="000000"/>
            </w:tcBorders>
            <w:vAlign w:val="center"/>
          </w:tcPr>
          <w:p>
            <w:pPr>
              <w:pStyle w:val="20"/>
            </w:pPr>
            <w:r>
              <w:t>≥10百分比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社会和谐</w:t>
            </w:r>
          </w:p>
        </w:tc>
        <w:tc>
          <w:tcPr>
            <w:tcW w:w="5386" w:type="dxa"/>
            <w:tcBorders>
              <w:left w:val="single" w:sz="6" w:space="0" w:color="000000"/>
              <w:right w:val="single" w:sz="6" w:space="0" w:color="000000"/>
            </w:tcBorders>
            <w:vAlign w:val="center"/>
          </w:tcPr>
          <w:p>
            <w:pPr>
              <w:pStyle w:val="20"/>
            </w:pPr>
            <w:r>
              <w:t>社会和谐</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走访调查</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生态效益指标</w:t>
            </w:r>
          </w:p>
        </w:tc>
        <w:tc>
          <w:tcPr>
            <w:tcW w:w="2835" w:type="dxa"/>
            <w:tcBorders>
              <w:left w:val="single" w:sz="6" w:space="0" w:color="000000"/>
              <w:right w:val="single" w:sz="6" w:space="0" w:color="000000"/>
            </w:tcBorders>
            <w:vAlign w:val="center"/>
          </w:tcPr>
          <w:p>
            <w:pPr>
              <w:pStyle w:val="20"/>
            </w:pPr>
            <w:r>
              <w:t>生态效益指标</w:t>
            </w:r>
          </w:p>
        </w:tc>
        <w:tc>
          <w:tcPr>
            <w:tcW w:w="5386" w:type="dxa"/>
            <w:tcBorders>
              <w:left w:val="single" w:sz="6" w:space="0" w:color="000000"/>
              <w:right w:val="single" w:sz="6" w:space="0" w:color="000000"/>
            </w:tcBorders>
            <w:vAlign w:val="center"/>
          </w:tcPr>
          <w:p>
            <w:pPr>
              <w:pStyle w:val="20"/>
            </w:pPr>
            <w:r>
              <w:t>生态效益指标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补助覆盖率</w:t>
            </w:r>
          </w:p>
        </w:tc>
        <w:tc>
          <w:tcPr>
            <w:tcW w:w="5386" w:type="dxa"/>
            <w:tcBorders>
              <w:left w:val="single" w:sz="6" w:space="0" w:color="000000"/>
              <w:right w:val="single" w:sz="6" w:space="0" w:color="000000"/>
            </w:tcBorders>
            <w:vAlign w:val="center"/>
          </w:tcPr>
          <w:p>
            <w:pPr>
              <w:pStyle w:val="20"/>
            </w:pPr>
            <w:r>
              <w:t>已补助人数占补助人数的比例</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文件</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w:t>
            </w:r>
          </w:p>
        </w:tc>
        <w:tc>
          <w:tcPr>
            <w:tcW w:w="5386" w:type="dxa"/>
            <w:tcBorders>
              <w:left w:val="single" w:sz="6" w:space="0" w:color="000000"/>
              <w:right w:val="single" w:sz="6" w:space="0" w:color="000000"/>
            </w:tcBorders>
            <w:vAlign w:val="center"/>
          </w:tcPr>
          <w:p>
            <w:pPr>
              <w:pStyle w:val="20"/>
            </w:pPr>
            <w:r>
              <w:t>受益对象的认可满意</w:t>
            </w:r>
          </w:p>
        </w:tc>
        <w:tc>
          <w:tcPr>
            <w:tcW w:w="2268" w:type="dxa"/>
            <w:tcBorders>
              <w:left w:val="single" w:sz="6" w:space="0" w:color="000000"/>
              <w:right w:val="single" w:sz="6" w:space="0" w:color="000000"/>
            </w:tcBorders>
            <w:vAlign w:val="center"/>
          </w:tcPr>
          <w:p>
            <w:pPr>
              <w:pStyle w:val="20"/>
            </w:pPr>
            <w:r>
              <w:t>≥90百分比</w:t>
            </w:r>
          </w:p>
        </w:tc>
        <w:tc>
          <w:tcPr>
            <w:tcW w:w="1276" w:type="dxa"/>
            <w:vAlign w:val="center"/>
          </w:tcPr>
          <w:p>
            <w:pPr>
              <w:pStyle w:val="20"/>
            </w:pPr>
            <w:r>
              <w:t>走访调查</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0.50</w:t>
            </w:r>
          </w:p>
        </w:tc>
      </w:tr>
      <w:tr>
        <w:tc>
          <w:tcPr>
            <w:tcW w:w="1701" w:type="dxa"/>
            <w:vAlign w:val="center"/>
          </w:tcPr>
          <w:p>
            <w:pPr>
              <w:pStyle w:val="22"/>
            </w:pPr>
            <w:r>
              <w:t>中共深泽县委统一战线工作部本级小计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0.50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20"/>
            </w:pPr>
            <w:r>
              <w:t>复印纸</w:t>
            </w:r>
          </w:p>
        </w:tc>
        <w:tc>
          <w:tcPr>
            <w:tcW w:w="1134" w:type="dxa"/>
            <w:tcBorders>
              <w:left w:val="single" w:sz="6" w:space="0" w:color="000000"/>
              <w:right w:val="single" w:sz="6" w:space="0" w:color="000000"/>
            </w:tcBorders>
            <w:vAlign w:val="center"/>
          </w:tcPr>
          <w:p>
            <w:pPr>
              <w:pStyle w:val="20"/>
            </w:pPr>
            <w:r>
              <w:t>A05040101</w:t>
            </w:r>
          </w:p>
        </w:tc>
        <w:tc>
          <w:tcPr>
            <w:tcW w:w="709" w:type="dxa"/>
            <w:tcBorders>
              <w:left w:val="single" w:sz="6" w:space="0" w:color="000000"/>
              <w:right w:val="single" w:sz="6" w:space="0" w:color="000000"/>
            </w:tcBorders>
            <w:vAlign w:val="center"/>
          </w:tcPr>
          <w:p>
            <w:pPr>
              <w:pStyle w:val="21"/>
            </w:pPr>
            <w:r>
              <w:t>批</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0.50</w:t>
            </w:r>
          </w:p>
        </w:tc>
        <w:tc>
          <w:tcPr>
            <w:tcW w:w="964" w:type="dxa"/>
            <w:tcBorders>
              <w:left w:val="single" w:sz="6" w:space="0" w:color="000000"/>
              <w:right w:val="single" w:sz="6" w:space="0" w:color="000000"/>
            </w:tcBorders>
            <w:vAlign w:val="center"/>
          </w:tcPr>
          <w:p>
            <w:pPr>
              <w:pStyle w:val="19"/>
            </w:pPr>
            <w:r>
              <w:t>0.50</w:t>
            </w:r>
          </w:p>
        </w:tc>
        <w:tc>
          <w:tcPr>
            <w:tcW w:w="964" w:type="dxa"/>
            <w:tcBorders>
              <w:left w:val="single" w:sz="6" w:space="0" w:color="000000"/>
              <w:right w:val="single" w:sz="6" w:space="0" w:color="000000"/>
            </w:tcBorders>
            <w:vAlign w:val="center"/>
          </w:tcPr>
          <w:p>
            <w:pPr>
              <w:pStyle w:val="19"/>
            </w:pPr>
            <w:r>
              <w:t>0.50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0.50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中共深泽县委统一战线工作部本级上年末固定资产金额为17.16万元（详见下表）。本年度拟购置固定资产总额为0.00万元，已按要求列入政府采购预算，详见政府采购预算表。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213001中共深泽县委统一战线工作部本级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17.16</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10.08</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88</w:t>
            </w:r>
          </w:p>
        </w:tc>
        <w:tc>
          <w:tcPr>
            <w:tcW w:w="2835" w:type="dxa"/>
            <w:vAlign w:val="center"/>
          </w:tcPr>
          <w:p>
            <w:pPr>
              <w:pStyle w:val="19"/>
            </w:pPr>
            <w:r>
              <w:t>7.08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customProps>
</customData>
</file>

<file path=customXml/itemProps1.xml><?xml version="1.0" encoding="utf-8"?>
<ds:datastoreItem xmlns:ds="http://schemas.openxmlformats.org/officeDocument/2006/customXml" ds:itemID="{C42F61DD-F14D-4215-AF03-F9706C0446B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13</TotalTime>
  <Application>Yozo_Office27021597764231179</Application>
  <Pages>22</Pages>
  <Words>0</Words>
  <Characters>7653</Characters>
  <Lines>0</Lines>
  <Paragraphs>92</Paragraphs>
  <CharactersWithSpaces>10204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2026-02-11T16:19:38Z</dcterms:created>
  <dcterms:modified xsi:type="dcterms:W3CDTF">2026-03-02T02:52:59Z</dcterms:modified>
</cp:coreProperties>
</file>