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6</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13</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23</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bookmarkStart w:id="0" w:name="_GoBack"/>
      <w:bookmarkEnd w:id="0"/>
    </w:p>
    <w:p>
      <w:pPr>
        <w:spacing w:before="0" w:after="0" w:line="240" w:lineRule="auto"/>
        <w:ind w:firstLine="0"/>
        <w:jc w:val="center"/>
        <w:outlineLvl w:val="1"/>
      </w:pPr>
      <w:bookmarkStart w:id="1" w:name="_Toc_2_2_0000000001"/>
      <w:r>
        <w:rPr>
          <w:rFonts w:ascii="方正小标宋_GBK" w:eastAsia="方正小标宋_GBK" w:cs="方正小标宋_GBK" w:hAnsi="方正小标宋_GBK"/>
          <w:color w:val="000000"/>
          <w:sz w:val="36"/>
        </w:rPr>
        <w:t>部门预算收支总表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542深泽县信访局</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189.98</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160.32</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13.12</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5.64</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10.90</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189.98</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189.98</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189.98</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189.98</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2" w:name="_Toc_2_2_0000000002"/>
      <w:r>
        <w:rPr>
          <w:rFonts w:ascii="方正小标宋_GBK" w:eastAsia="方正小标宋_GBK" w:cs="方正小标宋_GBK" w:hAnsi="方正小标宋_GBK"/>
          <w:color w:val="000000"/>
          <w:sz w:val="36"/>
        </w:rPr>
        <w:t>部门预算收入总表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542深泽县信访局</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189.98</w:t>
            </w:r>
          </w:p>
        </w:tc>
        <w:tc>
          <w:tcPr>
            <w:tcW w:w="1134" w:type="dxa"/>
            <w:tcBorders>
              <w:left w:val="single" w:sz="6" w:space="0" w:color="000000"/>
              <w:right w:val="single" w:sz="6" w:space="0" w:color="000000"/>
            </w:tcBorders>
            <w:vAlign w:val="center"/>
          </w:tcPr>
          <w:p>
            <w:pPr>
              <w:pStyle w:val="23"/>
            </w:pPr>
            <w:r>
              <w:t>189.98</w:t>
            </w:r>
          </w:p>
        </w:tc>
        <w:tc>
          <w:tcPr>
            <w:tcW w:w="1134" w:type="dxa"/>
            <w:tcBorders>
              <w:left w:val="single" w:sz="6" w:space="0" w:color="000000"/>
              <w:right w:val="single" w:sz="6" w:space="0" w:color="000000"/>
            </w:tcBorders>
            <w:vAlign w:val="center"/>
          </w:tcPr>
          <w:p>
            <w:pPr>
              <w:pStyle w:val="23"/>
            </w:pPr>
            <w:r>
              <w:t>189.98</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160.32</w:t>
            </w:r>
          </w:p>
        </w:tc>
        <w:tc>
          <w:tcPr>
            <w:tcW w:w="1134" w:type="dxa"/>
            <w:tcBorders>
              <w:left w:val="single" w:sz="6" w:space="0" w:color="000000"/>
              <w:right w:val="single" w:sz="6" w:space="0" w:color="000000"/>
            </w:tcBorders>
            <w:vAlign w:val="center"/>
          </w:tcPr>
          <w:p>
            <w:pPr>
              <w:pStyle w:val="19"/>
            </w:pPr>
            <w:r>
              <w:t>160.32</w:t>
            </w:r>
          </w:p>
        </w:tc>
        <w:tc>
          <w:tcPr>
            <w:tcW w:w="1134" w:type="dxa"/>
            <w:tcBorders>
              <w:left w:val="single" w:sz="6" w:space="0" w:color="000000"/>
              <w:right w:val="single" w:sz="6" w:space="0" w:color="000000"/>
            </w:tcBorders>
            <w:vAlign w:val="center"/>
          </w:tcPr>
          <w:p>
            <w:pPr>
              <w:pStyle w:val="19"/>
            </w:pPr>
            <w:r>
              <w:t>160.32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20140</w:t>
            </w:r>
          </w:p>
        </w:tc>
        <w:tc>
          <w:tcPr>
            <w:tcW w:w="1559" w:type="dxa"/>
            <w:tcBorders>
              <w:left w:val="single" w:sz="6" w:space="0" w:color="000000"/>
              <w:right w:val="single" w:sz="6" w:space="0" w:color="000000"/>
            </w:tcBorders>
            <w:vAlign w:val="center"/>
          </w:tcPr>
          <w:p>
            <w:pPr>
              <w:pStyle w:val="20"/>
            </w:pPr>
            <w:r>
              <w:t>信访事务</w:t>
            </w:r>
          </w:p>
        </w:tc>
        <w:tc>
          <w:tcPr>
            <w:tcW w:w="1134" w:type="dxa"/>
            <w:tcBorders>
              <w:left w:val="single" w:sz="6" w:space="0" w:color="000000"/>
              <w:right w:val="single" w:sz="6" w:space="0" w:color="000000"/>
            </w:tcBorders>
            <w:vAlign w:val="center"/>
          </w:tcPr>
          <w:p>
            <w:pPr>
              <w:pStyle w:val="19"/>
            </w:pPr>
            <w:r>
              <w:t>160.32</w:t>
            </w:r>
          </w:p>
        </w:tc>
        <w:tc>
          <w:tcPr>
            <w:tcW w:w="1134" w:type="dxa"/>
            <w:tcBorders>
              <w:left w:val="single" w:sz="6" w:space="0" w:color="000000"/>
              <w:right w:val="single" w:sz="6" w:space="0" w:color="000000"/>
            </w:tcBorders>
            <w:vAlign w:val="center"/>
          </w:tcPr>
          <w:p>
            <w:pPr>
              <w:pStyle w:val="19"/>
            </w:pPr>
            <w:r>
              <w:t>160.32</w:t>
            </w:r>
          </w:p>
        </w:tc>
        <w:tc>
          <w:tcPr>
            <w:tcW w:w="1134" w:type="dxa"/>
            <w:tcBorders>
              <w:left w:val="single" w:sz="6" w:space="0" w:color="000000"/>
              <w:right w:val="single" w:sz="6" w:space="0" w:color="000000"/>
            </w:tcBorders>
            <w:vAlign w:val="center"/>
          </w:tcPr>
          <w:p>
            <w:pPr>
              <w:pStyle w:val="19"/>
            </w:pPr>
            <w:r>
              <w:t>160.32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2014001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130.32</w:t>
            </w:r>
          </w:p>
        </w:tc>
        <w:tc>
          <w:tcPr>
            <w:tcW w:w="1134" w:type="dxa"/>
            <w:tcBorders>
              <w:left w:val="single" w:sz="6" w:space="0" w:color="000000"/>
              <w:right w:val="single" w:sz="6" w:space="0" w:color="000000"/>
            </w:tcBorders>
            <w:vAlign w:val="center"/>
          </w:tcPr>
          <w:p>
            <w:pPr>
              <w:pStyle w:val="19"/>
            </w:pPr>
            <w:r>
              <w:t>130.32</w:t>
            </w:r>
          </w:p>
        </w:tc>
        <w:tc>
          <w:tcPr>
            <w:tcW w:w="1134" w:type="dxa"/>
            <w:tcBorders>
              <w:left w:val="single" w:sz="6" w:space="0" w:color="000000"/>
              <w:right w:val="single" w:sz="6" w:space="0" w:color="000000"/>
            </w:tcBorders>
            <w:vAlign w:val="center"/>
          </w:tcPr>
          <w:p>
            <w:pPr>
              <w:pStyle w:val="19"/>
            </w:pPr>
            <w:r>
              <w:t>130.32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2014004</w:t>
            </w:r>
          </w:p>
        </w:tc>
        <w:tc>
          <w:tcPr>
            <w:tcW w:w="1559" w:type="dxa"/>
            <w:tcBorders>
              <w:left w:val="single" w:sz="6" w:space="0" w:color="000000"/>
              <w:right w:val="single" w:sz="6" w:space="0" w:color="000000"/>
            </w:tcBorders>
            <w:vAlign w:val="center"/>
          </w:tcPr>
          <w:p>
            <w:pPr>
              <w:pStyle w:val="20"/>
            </w:pPr>
            <w:r>
              <w:t>信访业务</w:t>
            </w:r>
          </w:p>
        </w:tc>
        <w:tc>
          <w:tcPr>
            <w:tcW w:w="1134" w:type="dxa"/>
            <w:tcBorders>
              <w:left w:val="single" w:sz="6" w:space="0" w:color="000000"/>
              <w:right w:val="single" w:sz="6" w:space="0" w:color="000000"/>
            </w:tcBorders>
            <w:vAlign w:val="center"/>
          </w:tcPr>
          <w:p>
            <w:pPr>
              <w:pStyle w:val="19"/>
            </w:pPr>
            <w:r>
              <w:t>30.00</w:t>
            </w:r>
          </w:p>
        </w:tc>
        <w:tc>
          <w:tcPr>
            <w:tcW w:w="1134" w:type="dxa"/>
            <w:tcBorders>
              <w:left w:val="single" w:sz="6" w:space="0" w:color="000000"/>
              <w:right w:val="single" w:sz="6" w:space="0" w:color="000000"/>
            </w:tcBorders>
            <w:vAlign w:val="center"/>
          </w:tcPr>
          <w:p>
            <w:pPr>
              <w:pStyle w:val="19"/>
            </w:pPr>
            <w:r>
              <w:t>30.00</w:t>
            </w:r>
          </w:p>
        </w:tc>
        <w:tc>
          <w:tcPr>
            <w:tcW w:w="1134" w:type="dxa"/>
            <w:tcBorders>
              <w:left w:val="single" w:sz="6" w:space="0" w:color="000000"/>
              <w:right w:val="single" w:sz="6" w:space="0" w:color="000000"/>
            </w:tcBorders>
            <w:vAlign w:val="center"/>
          </w:tcPr>
          <w:p>
            <w:pPr>
              <w:pStyle w:val="19"/>
            </w:pPr>
            <w:r>
              <w:t>30.00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r>
              <w:t>13.12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r>
              <w:t>5.64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r>
              <w:t>10.90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3"/>
      <w:r>
        <w:rPr>
          <w:rFonts w:ascii="方正小标宋_GBK" w:eastAsia="方正小标宋_GBK" w:cs="方正小标宋_GBK" w:hAnsi="方正小标宋_GBK"/>
          <w:color w:val="000000"/>
          <w:sz w:val="36"/>
        </w:rPr>
        <w:t>部门预算支出总表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542深泽县信访局</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189.98</w:t>
            </w:r>
          </w:p>
        </w:tc>
        <w:tc>
          <w:tcPr>
            <w:tcW w:w="1361" w:type="dxa"/>
            <w:tcBorders>
              <w:left w:val="single" w:sz="6" w:space="0" w:color="000000"/>
              <w:right w:val="single" w:sz="6" w:space="0" w:color="000000"/>
            </w:tcBorders>
            <w:vAlign w:val="center"/>
          </w:tcPr>
          <w:p>
            <w:pPr>
              <w:pStyle w:val="23"/>
            </w:pPr>
            <w:r>
              <w:t>159.98</w:t>
            </w:r>
          </w:p>
        </w:tc>
        <w:tc>
          <w:tcPr>
            <w:tcW w:w="1361" w:type="dxa"/>
            <w:tcBorders>
              <w:left w:val="single" w:sz="6" w:space="0" w:color="000000"/>
              <w:right w:val="single" w:sz="6" w:space="0" w:color="000000"/>
            </w:tcBorders>
            <w:vAlign w:val="center"/>
          </w:tcPr>
          <w:p>
            <w:pPr>
              <w:pStyle w:val="23"/>
            </w:pPr>
            <w:r>
              <w:t>30.00</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160.32</w:t>
            </w:r>
          </w:p>
        </w:tc>
        <w:tc>
          <w:tcPr>
            <w:tcW w:w="1361" w:type="dxa"/>
            <w:tcBorders>
              <w:left w:val="single" w:sz="6" w:space="0" w:color="000000"/>
              <w:right w:val="single" w:sz="6" w:space="0" w:color="000000"/>
            </w:tcBorders>
            <w:vAlign w:val="center"/>
          </w:tcPr>
          <w:p>
            <w:pPr>
              <w:pStyle w:val="19"/>
            </w:pPr>
            <w:r>
              <w:t>130.32</w:t>
            </w:r>
          </w:p>
        </w:tc>
        <w:tc>
          <w:tcPr>
            <w:tcW w:w="1361" w:type="dxa"/>
            <w:tcBorders>
              <w:left w:val="single" w:sz="6" w:space="0" w:color="000000"/>
              <w:right w:val="single" w:sz="6" w:space="0" w:color="000000"/>
            </w:tcBorders>
            <w:vAlign w:val="center"/>
          </w:tcPr>
          <w:p>
            <w:pPr>
              <w:pStyle w:val="19"/>
            </w:pPr>
            <w:r>
              <w:t>30.00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20140</w:t>
            </w:r>
          </w:p>
        </w:tc>
        <w:tc>
          <w:tcPr>
            <w:tcW w:w="4535" w:type="dxa"/>
            <w:tcBorders>
              <w:left w:val="single" w:sz="6" w:space="0" w:color="000000"/>
              <w:right w:val="single" w:sz="6" w:space="0" w:color="000000"/>
            </w:tcBorders>
            <w:vAlign w:val="center"/>
          </w:tcPr>
          <w:p>
            <w:pPr>
              <w:pStyle w:val="20"/>
            </w:pPr>
            <w:r>
              <w:t>信访事务</w:t>
            </w:r>
          </w:p>
        </w:tc>
        <w:tc>
          <w:tcPr>
            <w:tcW w:w="1361" w:type="dxa"/>
            <w:tcBorders>
              <w:left w:val="single" w:sz="6" w:space="0" w:color="000000"/>
              <w:right w:val="single" w:sz="6" w:space="0" w:color="000000"/>
            </w:tcBorders>
            <w:vAlign w:val="center"/>
          </w:tcPr>
          <w:p>
            <w:pPr>
              <w:pStyle w:val="19"/>
            </w:pPr>
            <w:r>
              <w:t>160.32</w:t>
            </w:r>
          </w:p>
        </w:tc>
        <w:tc>
          <w:tcPr>
            <w:tcW w:w="1361" w:type="dxa"/>
            <w:tcBorders>
              <w:left w:val="single" w:sz="6" w:space="0" w:color="000000"/>
              <w:right w:val="single" w:sz="6" w:space="0" w:color="000000"/>
            </w:tcBorders>
            <w:vAlign w:val="center"/>
          </w:tcPr>
          <w:p>
            <w:pPr>
              <w:pStyle w:val="19"/>
            </w:pPr>
            <w:r>
              <w:t>130.32</w:t>
            </w:r>
          </w:p>
        </w:tc>
        <w:tc>
          <w:tcPr>
            <w:tcW w:w="1361" w:type="dxa"/>
            <w:tcBorders>
              <w:left w:val="single" w:sz="6" w:space="0" w:color="000000"/>
              <w:right w:val="single" w:sz="6" w:space="0" w:color="000000"/>
            </w:tcBorders>
            <w:vAlign w:val="center"/>
          </w:tcPr>
          <w:p>
            <w:pPr>
              <w:pStyle w:val="19"/>
            </w:pPr>
            <w:r>
              <w:t>30.00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2014001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130.32</w:t>
            </w:r>
          </w:p>
        </w:tc>
        <w:tc>
          <w:tcPr>
            <w:tcW w:w="1361" w:type="dxa"/>
            <w:tcBorders>
              <w:left w:val="single" w:sz="6" w:space="0" w:color="000000"/>
              <w:right w:val="single" w:sz="6" w:space="0" w:color="000000"/>
            </w:tcBorders>
            <w:vAlign w:val="center"/>
          </w:tcPr>
          <w:p>
            <w:pPr>
              <w:pStyle w:val="19"/>
            </w:pPr>
            <w:r>
              <w:t>130.32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2014004</w:t>
            </w:r>
          </w:p>
        </w:tc>
        <w:tc>
          <w:tcPr>
            <w:tcW w:w="4535" w:type="dxa"/>
            <w:tcBorders>
              <w:left w:val="single" w:sz="6" w:space="0" w:color="000000"/>
              <w:right w:val="single" w:sz="6" w:space="0" w:color="000000"/>
            </w:tcBorders>
            <w:vAlign w:val="center"/>
          </w:tcPr>
          <w:p>
            <w:pPr>
              <w:pStyle w:val="20"/>
            </w:pPr>
            <w:r>
              <w:t>信访业务</w:t>
            </w:r>
          </w:p>
        </w:tc>
        <w:tc>
          <w:tcPr>
            <w:tcW w:w="1361" w:type="dxa"/>
            <w:tcBorders>
              <w:left w:val="single" w:sz="6" w:space="0" w:color="000000"/>
              <w:right w:val="single" w:sz="6" w:space="0" w:color="000000"/>
            </w:tcBorders>
            <w:vAlign w:val="center"/>
          </w:tcPr>
          <w:p>
            <w:pPr>
              <w:pStyle w:val="19"/>
            </w:pPr>
            <w:r>
              <w:t>30.00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30.00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13.12</w:t>
            </w:r>
          </w:p>
        </w:tc>
        <w:tc>
          <w:tcPr>
            <w:tcW w:w="1361" w:type="dxa"/>
            <w:tcBorders>
              <w:left w:val="single" w:sz="6" w:space="0" w:color="000000"/>
              <w:right w:val="single" w:sz="6" w:space="0" w:color="000000"/>
            </w:tcBorders>
            <w:vAlign w:val="center"/>
          </w:tcPr>
          <w:p>
            <w:pPr>
              <w:pStyle w:val="19"/>
            </w:pPr>
            <w:r>
              <w:t>13.12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13.12</w:t>
            </w:r>
          </w:p>
        </w:tc>
        <w:tc>
          <w:tcPr>
            <w:tcW w:w="1361" w:type="dxa"/>
            <w:tcBorders>
              <w:left w:val="single" w:sz="6" w:space="0" w:color="000000"/>
              <w:right w:val="single" w:sz="6" w:space="0" w:color="000000"/>
            </w:tcBorders>
            <w:vAlign w:val="center"/>
          </w:tcPr>
          <w:p>
            <w:pPr>
              <w:pStyle w:val="19"/>
            </w:pPr>
            <w:r>
              <w:t>13.12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13.12</w:t>
            </w:r>
          </w:p>
        </w:tc>
        <w:tc>
          <w:tcPr>
            <w:tcW w:w="1361" w:type="dxa"/>
            <w:tcBorders>
              <w:left w:val="single" w:sz="6" w:space="0" w:color="000000"/>
              <w:right w:val="single" w:sz="6" w:space="0" w:color="000000"/>
            </w:tcBorders>
            <w:vAlign w:val="center"/>
          </w:tcPr>
          <w:p>
            <w:pPr>
              <w:pStyle w:val="19"/>
            </w:pPr>
            <w:r>
              <w:t>13.12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5.64</w:t>
            </w:r>
          </w:p>
        </w:tc>
        <w:tc>
          <w:tcPr>
            <w:tcW w:w="1361" w:type="dxa"/>
            <w:tcBorders>
              <w:left w:val="single" w:sz="6" w:space="0" w:color="000000"/>
              <w:right w:val="single" w:sz="6" w:space="0" w:color="000000"/>
            </w:tcBorders>
            <w:vAlign w:val="center"/>
          </w:tcPr>
          <w:p>
            <w:pPr>
              <w:pStyle w:val="19"/>
            </w:pPr>
            <w:r>
              <w:t>5.64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5.64</w:t>
            </w:r>
          </w:p>
        </w:tc>
        <w:tc>
          <w:tcPr>
            <w:tcW w:w="1361" w:type="dxa"/>
            <w:tcBorders>
              <w:left w:val="single" w:sz="6" w:space="0" w:color="000000"/>
              <w:right w:val="single" w:sz="6" w:space="0" w:color="000000"/>
            </w:tcBorders>
            <w:vAlign w:val="center"/>
          </w:tcPr>
          <w:p>
            <w:pPr>
              <w:pStyle w:val="19"/>
            </w:pPr>
            <w:r>
              <w:t>5.64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5.64</w:t>
            </w:r>
          </w:p>
        </w:tc>
        <w:tc>
          <w:tcPr>
            <w:tcW w:w="1361" w:type="dxa"/>
            <w:tcBorders>
              <w:left w:val="single" w:sz="6" w:space="0" w:color="000000"/>
              <w:right w:val="single" w:sz="6" w:space="0" w:color="000000"/>
            </w:tcBorders>
            <w:vAlign w:val="center"/>
          </w:tcPr>
          <w:p>
            <w:pPr>
              <w:pStyle w:val="19"/>
            </w:pPr>
            <w:r>
              <w:t>5.64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10.90</w:t>
            </w:r>
          </w:p>
        </w:tc>
        <w:tc>
          <w:tcPr>
            <w:tcW w:w="1361" w:type="dxa"/>
            <w:tcBorders>
              <w:left w:val="single" w:sz="6" w:space="0" w:color="000000"/>
              <w:right w:val="single" w:sz="6" w:space="0" w:color="000000"/>
            </w:tcBorders>
            <w:vAlign w:val="center"/>
          </w:tcPr>
          <w:p>
            <w:pPr>
              <w:pStyle w:val="19"/>
            </w:pPr>
            <w:r>
              <w:t>10.90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10.90</w:t>
            </w:r>
          </w:p>
        </w:tc>
        <w:tc>
          <w:tcPr>
            <w:tcW w:w="1361" w:type="dxa"/>
            <w:tcBorders>
              <w:left w:val="single" w:sz="6" w:space="0" w:color="000000"/>
              <w:right w:val="single" w:sz="6" w:space="0" w:color="000000"/>
            </w:tcBorders>
            <w:vAlign w:val="center"/>
          </w:tcPr>
          <w:p>
            <w:pPr>
              <w:pStyle w:val="19"/>
            </w:pPr>
            <w:r>
              <w:t>10.90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10.90</w:t>
            </w:r>
          </w:p>
        </w:tc>
        <w:tc>
          <w:tcPr>
            <w:tcW w:w="1361" w:type="dxa"/>
            <w:tcBorders>
              <w:left w:val="single" w:sz="6" w:space="0" w:color="000000"/>
              <w:right w:val="single" w:sz="6" w:space="0" w:color="000000"/>
            </w:tcBorders>
            <w:vAlign w:val="center"/>
          </w:tcPr>
          <w:p>
            <w:pPr>
              <w:pStyle w:val="19"/>
            </w:pPr>
            <w:r>
              <w:t>10.90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4" w:name="_Toc_2_2_0000000004"/>
      <w:r>
        <w:rPr>
          <w:rFonts w:ascii="方正小标宋_GBK" w:eastAsia="方正小标宋_GBK" w:cs="方正小标宋_GBK" w:hAnsi="方正小标宋_GBK"/>
          <w:color w:val="000000"/>
          <w:sz w:val="36"/>
        </w:rPr>
        <w:t>部门预算财政拨款收支总表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542深泽县信访局</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189.98</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160.32</w:t>
            </w:r>
          </w:p>
        </w:tc>
        <w:tc>
          <w:tcPr>
            <w:tcW w:w="1474" w:type="dxa"/>
            <w:tcBorders>
              <w:left w:val="single" w:sz="6" w:space="0" w:color="000000"/>
              <w:right w:val="single" w:sz="6" w:space="0" w:color="000000"/>
            </w:tcBorders>
            <w:vAlign w:val="center"/>
          </w:tcPr>
          <w:p>
            <w:pPr>
              <w:pStyle w:val="19"/>
            </w:pPr>
            <w:r>
              <w:t>160.32</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13.12</w:t>
            </w:r>
          </w:p>
        </w:tc>
        <w:tc>
          <w:tcPr>
            <w:tcW w:w="1474" w:type="dxa"/>
            <w:tcBorders>
              <w:left w:val="single" w:sz="6" w:space="0" w:color="000000"/>
              <w:right w:val="single" w:sz="6" w:space="0" w:color="000000"/>
            </w:tcBorders>
            <w:vAlign w:val="center"/>
          </w:tcPr>
          <w:p>
            <w:pPr>
              <w:pStyle w:val="19"/>
            </w:pPr>
            <w:r>
              <w:t>13.12</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5.64</w:t>
            </w:r>
          </w:p>
        </w:tc>
        <w:tc>
          <w:tcPr>
            <w:tcW w:w="1474" w:type="dxa"/>
            <w:tcBorders>
              <w:left w:val="single" w:sz="6" w:space="0" w:color="000000"/>
              <w:right w:val="single" w:sz="6" w:space="0" w:color="000000"/>
            </w:tcBorders>
            <w:vAlign w:val="center"/>
          </w:tcPr>
          <w:p>
            <w:pPr>
              <w:pStyle w:val="19"/>
            </w:pPr>
            <w:r>
              <w:t>5.64</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10.90</w:t>
            </w:r>
          </w:p>
        </w:tc>
        <w:tc>
          <w:tcPr>
            <w:tcW w:w="1474" w:type="dxa"/>
            <w:tcBorders>
              <w:left w:val="single" w:sz="6" w:space="0" w:color="000000"/>
              <w:right w:val="single" w:sz="6" w:space="0" w:color="000000"/>
            </w:tcBorders>
            <w:vAlign w:val="center"/>
          </w:tcPr>
          <w:p>
            <w:pPr>
              <w:pStyle w:val="19"/>
            </w:pPr>
            <w:r>
              <w:t>10.90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189.98</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189.98</w:t>
            </w:r>
          </w:p>
        </w:tc>
        <w:tc>
          <w:tcPr>
            <w:tcW w:w="1474" w:type="dxa"/>
            <w:tcBorders>
              <w:left w:val="single" w:sz="6" w:space="0" w:color="000000"/>
              <w:right w:val="single" w:sz="6" w:space="0" w:color="000000"/>
            </w:tcBorders>
            <w:vAlign w:val="center"/>
          </w:tcPr>
          <w:p>
            <w:pPr>
              <w:pStyle w:val="23"/>
            </w:pPr>
            <w:r>
              <w:t>189.98</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189.98</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189.98</w:t>
            </w:r>
          </w:p>
        </w:tc>
        <w:tc>
          <w:tcPr>
            <w:tcW w:w="1474" w:type="dxa"/>
            <w:tcBorders>
              <w:left w:val="single" w:sz="6" w:space="0" w:color="000000"/>
              <w:right w:val="single" w:sz="6" w:space="0" w:color="000000"/>
            </w:tcBorders>
            <w:vAlign w:val="center"/>
          </w:tcPr>
          <w:p>
            <w:pPr>
              <w:pStyle w:val="23"/>
            </w:pPr>
            <w:r>
              <w:t>189.98</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5"/>
      <w:r>
        <w:rPr>
          <w:rFonts w:ascii="方正小标宋_GBK" w:eastAsia="方正小标宋_GBK" w:cs="方正小标宋_GBK" w:hAnsi="方正小标宋_GBK"/>
          <w:color w:val="000000"/>
          <w:sz w:val="36"/>
        </w:rPr>
        <w:t>部门预算一般公共预算财政拨款支出表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542深泽县信访局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189.98</w:t>
            </w:r>
          </w:p>
        </w:tc>
        <w:tc>
          <w:tcPr>
            <w:tcW w:w="2551" w:type="dxa"/>
            <w:tcBorders>
              <w:left w:val="single" w:sz="6" w:space="0" w:color="000000"/>
              <w:right w:val="single" w:sz="6" w:space="0" w:color="000000"/>
            </w:tcBorders>
            <w:vAlign w:val="center"/>
          </w:tcPr>
          <w:p>
            <w:pPr>
              <w:pStyle w:val="23"/>
            </w:pPr>
            <w:r>
              <w:t>159.98</w:t>
            </w:r>
          </w:p>
        </w:tc>
        <w:tc>
          <w:tcPr>
            <w:tcW w:w="2551" w:type="dxa"/>
            <w:vAlign w:val="center"/>
          </w:tcPr>
          <w:p>
            <w:pPr>
              <w:pStyle w:val="23"/>
            </w:pPr>
            <w:r>
              <w:t>30.00</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160.32</w:t>
            </w:r>
          </w:p>
        </w:tc>
        <w:tc>
          <w:tcPr>
            <w:tcW w:w="2551" w:type="dxa"/>
            <w:tcBorders>
              <w:left w:val="single" w:sz="6" w:space="0" w:color="000000"/>
              <w:right w:val="single" w:sz="6" w:space="0" w:color="000000"/>
            </w:tcBorders>
            <w:vAlign w:val="center"/>
          </w:tcPr>
          <w:p>
            <w:pPr>
              <w:pStyle w:val="19"/>
            </w:pPr>
            <w:r>
              <w:t>130.32</w:t>
            </w:r>
          </w:p>
        </w:tc>
        <w:tc>
          <w:tcPr>
            <w:tcW w:w="2551" w:type="dxa"/>
            <w:vAlign w:val="center"/>
          </w:tcPr>
          <w:p>
            <w:pPr>
              <w:pStyle w:val="19"/>
            </w:pPr>
            <w:r>
              <w:t>30.00</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20140</w:t>
            </w:r>
          </w:p>
        </w:tc>
        <w:tc>
          <w:tcPr>
            <w:tcW w:w="4535" w:type="dxa"/>
            <w:tcBorders>
              <w:left w:val="single" w:sz="6" w:space="0" w:color="000000"/>
              <w:right w:val="single" w:sz="6" w:space="0" w:color="000000"/>
            </w:tcBorders>
            <w:vAlign w:val="center"/>
          </w:tcPr>
          <w:p>
            <w:pPr>
              <w:pStyle w:val="20"/>
            </w:pPr>
            <w:r>
              <w:t>信访事务</w:t>
            </w:r>
          </w:p>
        </w:tc>
        <w:tc>
          <w:tcPr>
            <w:tcW w:w="2551" w:type="dxa"/>
            <w:tcBorders>
              <w:left w:val="single" w:sz="6" w:space="0" w:color="000000"/>
              <w:right w:val="single" w:sz="6" w:space="0" w:color="000000"/>
            </w:tcBorders>
            <w:vAlign w:val="center"/>
          </w:tcPr>
          <w:p>
            <w:pPr>
              <w:pStyle w:val="19"/>
            </w:pPr>
            <w:r>
              <w:t>160.32</w:t>
            </w:r>
          </w:p>
        </w:tc>
        <w:tc>
          <w:tcPr>
            <w:tcW w:w="2551" w:type="dxa"/>
            <w:tcBorders>
              <w:left w:val="single" w:sz="6" w:space="0" w:color="000000"/>
              <w:right w:val="single" w:sz="6" w:space="0" w:color="000000"/>
            </w:tcBorders>
            <w:vAlign w:val="center"/>
          </w:tcPr>
          <w:p>
            <w:pPr>
              <w:pStyle w:val="19"/>
            </w:pPr>
            <w:r>
              <w:t>130.32</w:t>
            </w:r>
          </w:p>
        </w:tc>
        <w:tc>
          <w:tcPr>
            <w:tcW w:w="2551" w:type="dxa"/>
            <w:vAlign w:val="center"/>
          </w:tcPr>
          <w:p>
            <w:pPr>
              <w:pStyle w:val="19"/>
            </w:pPr>
            <w:r>
              <w:t>30.00</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2014001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130.32</w:t>
            </w:r>
          </w:p>
        </w:tc>
        <w:tc>
          <w:tcPr>
            <w:tcW w:w="2551" w:type="dxa"/>
            <w:tcBorders>
              <w:left w:val="single" w:sz="6" w:space="0" w:color="000000"/>
              <w:right w:val="single" w:sz="6" w:space="0" w:color="000000"/>
            </w:tcBorders>
            <w:vAlign w:val="center"/>
          </w:tcPr>
          <w:p>
            <w:pPr>
              <w:pStyle w:val="19"/>
            </w:pPr>
            <w:r>
              <w:t>130.32</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2014004</w:t>
            </w:r>
          </w:p>
        </w:tc>
        <w:tc>
          <w:tcPr>
            <w:tcW w:w="4535" w:type="dxa"/>
            <w:tcBorders>
              <w:left w:val="single" w:sz="6" w:space="0" w:color="000000"/>
              <w:right w:val="single" w:sz="6" w:space="0" w:color="000000"/>
            </w:tcBorders>
            <w:vAlign w:val="center"/>
          </w:tcPr>
          <w:p>
            <w:pPr>
              <w:pStyle w:val="20"/>
            </w:pPr>
            <w:r>
              <w:t>信访业务</w:t>
            </w:r>
          </w:p>
        </w:tc>
        <w:tc>
          <w:tcPr>
            <w:tcW w:w="2551" w:type="dxa"/>
            <w:tcBorders>
              <w:left w:val="single" w:sz="6" w:space="0" w:color="000000"/>
              <w:right w:val="single" w:sz="6" w:space="0" w:color="000000"/>
            </w:tcBorders>
            <w:vAlign w:val="center"/>
          </w:tcPr>
          <w:p>
            <w:pPr>
              <w:pStyle w:val="19"/>
            </w:pPr>
            <w:r>
              <w:t>30.00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30.00</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13.12</w:t>
            </w:r>
          </w:p>
        </w:tc>
        <w:tc>
          <w:tcPr>
            <w:tcW w:w="2551" w:type="dxa"/>
            <w:tcBorders>
              <w:left w:val="single" w:sz="6" w:space="0" w:color="000000"/>
              <w:right w:val="single" w:sz="6" w:space="0" w:color="000000"/>
            </w:tcBorders>
            <w:vAlign w:val="center"/>
          </w:tcPr>
          <w:p>
            <w:pPr>
              <w:pStyle w:val="19"/>
            </w:pPr>
            <w:r>
              <w:t>13.12</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13.12</w:t>
            </w:r>
          </w:p>
        </w:tc>
        <w:tc>
          <w:tcPr>
            <w:tcW w:w="2551" w:type="dxa"/>
            <w:tcBorders>
              <w:left w:val="single" w:sz="6" w:space="0" w:color="000000"/>
              <w:right w:val="single" w:sz="6" w:space="0" w:color="000000"/>
            </w:tcBorders>
            <w:vAlign w:val="center"/>
          </w:tcPr>
          <w:p>
            <w:pPr>
              <w:pStyle w:val="19"/>
            </w:pPr>
            <w:r>
              <w:t>13.12</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13.12</w:t>
            </w:r>
          </w:p>
        </w:tc>
        <w:tc>
          <w:tcPr>
            <w:tcW w:w="2551" w:type="dxa"/>
            <w:tcBorders>
              <w:left w:val="single" w:sz="6" w:space="0" w:color="000000"/>
              <w:right w:val="single" w:sz="6" w:space="0" w:color="000000"/>
            </w:tcBorders>
            <w:vAlign w:val="center"/>
          </w:tcPr>
          <w:p>
            <w:pPr>
              <w:pStyle w:val="19"/>
            </w:pPr>
            <w:r>
              <w:t>13.12</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5.64</w:t>
            </w:r>
          </w:p>
        </w:tc>
        <w:tc>
          <w:tcPr>
            <w:tcW w:w="2551" w:type="dxa"/>
            <w:tcBorders>
              <w:left w:val="single" w:sz="6" w:space="0" w:color="000000"/>
              <w:right w:val="single" w:sz="6" w:space="0" w:color="000000"/>
            </w:tcBorders>
            <w:vAlign w:val="center"/>
          </w:tcPr>
          <w:p>
            <w:pPr>
              <w:pStyle w:val="19"/>
            </w:pPr>
            <w:r>
              <w:t>5.64</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5.64</w:t>
            </w:r>
          </w:p>
        </w:tc>
        <w:tc>
          <w:tcPr>
            <w:tcW w:w="2551" w:type="dxa"/>
            <w:tcBorders>
              <w:left w:val="single" w:sz="6" w:space="0" w:color="000000"/>
              <w:right w:val="single" w:sz="6" w:space="0" w:color="000000"/>
            </w:tcBorders>
            <w:vAlign w:val="center"/>
          </w:tcPr>
          <w:p>
            <w:pPr>
              <w:pStyle w:val="19"/>
            </w:pPr>
            <w:r>
              <w:t>5.64</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5.64</w:t>
            </w:r>
          </w:p>
        </w:tc>
        <w:tc>
          <w:tcPr>
            <w:tcW w:w="2551" w:type="dxa"/>
            <w:tcBorders>
              <w:left w:val="single" w:sz="6" w:space="0" w:color="000000"/>
              <w:right w:val="single" w:sz="6" w:space="0" w:color="000000"/>
            </w:tcBorders>
            <w:vAlign w:val="center"/>
          </w:tcPr>
          <w:p>
            <w:pPr>
              <w:pStyle w:val="19"/>
            </w:pPr>
            <w:r>
              <w:t>5.64</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10.90</w:t>
            </w:r>
          </w:p>
        </w:tc>
        <w:tc>
          <w:tcPr>
            <w:tcW w:w="2551" w:type="dxa"/>
            <w:tcBorders>
              <w:left w:val="single" w:sz="6" w:space="0" w:color="000000"/>
              <w:right w:val="single" w:sz="6" w:space="0" w:color="000000"/>
            </w:tcBorders>
            <w:vAlign w:val="center"/>
          </w:tcPr>
          <w:p>
            <w:pPr>
              <w:pStyle w:val="19"/>
            </w:pPr>
            <w:r>
              <w:t>10.90</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10.90</w:t>
            </w:r>
          </w:p>
        </w:tc>
        <w:tc>
          <w:tcPr>
            <w:tcW w:w="2551" w:type="dxa"/>
            <w:tcBorders>
              <w:left w:val="single" w:sz="6" w:space="0" w:color="000000"/>
              <w:right w:val="single" w:sz="6" w:space="0" w:color="000000"/>
            </w:tcBorders>
            <w:vAlign w:val="center"/>
          </w:tcPr>
          <w:p>
            <w:pPr>
              <w:pStyle w:val="19"/>
            </w:pPr>
            <w:r>
              <w:t>10.90</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10.90</w:t>
            </w:r>
          </w:p>
        </w:tc>
        <w:tc>
          <w:tcPr>
            <w:tcW w:w="2551" w:type="dxa"/>
            <w:tcBorders>
              <w:left w:val="single" w:sz="6" w:space="0" w:color="000000"/>
              <w:right w:val="single" w:sz="6" w:space="0" w:color="000000"/>
            </w:tcBorders>
            <w:vAlign w:val="center"/>
          </w:tcPr>
          <w:p>
            <w:pPr>
              <w:pStyle w:val="19"/>
            </w:pPr>
            <w:r>
              <w:t>10.90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6"/>
      <w:r>
        <w:rPr>
          <w:rFonts w:ascii="方正小标宋_GBK" w:eastAsia="方正小标宋_GBK" w:cs="方正小标宋_GBK" w:hAnsi="方正小标宋_GBK"/>
          <w:color w:val="000000"/>
          <w:sz w:val="36"/>
        </w:rPr>
        <w:t>部门预算一般公共预算财政拨款基本支出表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542深泽县信访局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159.98</w:t>
            </w:r>
          </w:p>
        </w:tc>
        <w:tc>
          <w:tcPr>
            <w:tcW w:w="2551" w:type="dxa"/>
            <w:tcBorders>
              <w:left w:val="single" w:sz="6" w:space="0" w:color="000000"/>
              <w:right w:val="single" w:sz="6" w:space="0" w:color="000000"/>
            </w:tcBorders>
            <w:vAlign w:val="center"/>
          </w:tcPr>
          <w:p>
            <w:pPr>
              <w:pStyle w:val="23"/>
            </w:pPr>
            <w:r>
              <w:t>152.36</w:t>
            </w:r>
          </w:p>
        </w:tc>
        <w:tc>
          <w:tcPr>
            <w:tcW w:w="2551" w:type="dxa"/>
            <w:vAlign w:val="center"/>
          </w:tcPr>
          <w:p>
            <w:pPr>
              <w:pStyle w:val="23"/>
            </w:pPr>
            <w:r>
              <w:t>7.62</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139.29</w:t>
            </w:r>
          </w:p>
        </w:tc>
        <w:tc>
          <w:tcPr>
            <w:tcW w:w="2551" w:type="dxa"/>
            <w:tcBorders>
              <w:left w:val="single" w:sz="6" w:space="0" w:color="000000"/>
              <w:right w:val="single" w:sz="6" w:space="0" w:color="000000"/>
            </w:tcBorders>
            <w:vAlign w:val="center"/>
          </w:tcPr>
          <w:p>
            <w:pPr>
              <w:pStyle w:val="19"/>
            </w:pPr>
            <w:r>
              <w:t>139.29</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52.14</w:t>
            </w:r>
          </w:p>
        </w:tc>
        <w:tc>
          <w:tcPr>
            <w:tcW w:w="2551" w:type="dxa"/>
            <w:tcBorders>
              <w:left w:val="single" w:sz="6" w:space="0" w:color="000000"/>
              <w:right w:val="single" w:sz="6" w:space="0" w:color="000000"/>
            </w:tcBorders>
            <w:vAlign w:val="center"/>
          </w:tcPr>
          <w:p>
            <w:pPr>
              <w:pStyle w:val="19"/>
            </w:pPr>
            <w:r>
              <w:t>52.14</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14.34</w:t>
            </w:r>
          </w:p>
        </w:tc>
        <w:tc>
          <w:tcPr>
            <w:tcW w:w="2551" w:type="dxa"/>
            <w:tcBorders>
              <w:left w:val="single" w:sz="6" w:space="0" w:color="000000"/>
              <w:right w:val="single" w:sz="6" w:space="0" w:color="000000"/>
            </w:tcBorders>
            <w:vAlign w:val="center"/>
          </w:tcPr>
          <w:p>
            <w:pPr>
              <w:pStyle w:val="19"/>
            </w:pPr>
            <w:r>
              <w:t>14.34</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17.44</w:t>
            </w:r>
          </w:p>
        </w:tc>
        <w:tc>
          <w:tcPr>
            <w:tcW w:w="2551" w:type="dxa"/>
            <w:tcBorders>
              <w:left w:val="single" w:sz="6" w:space="0" w:color="000000"/>
              <w:right w:val="single" w:sz="6" w:space="0" w:color="000000"/>
            </w:tcBorders>
            <w:vAlign w:val="center"/>
          </w:tcPr>
          <w:p>
            <w:pPr>
              <w:pStyle w:val="19"/>
            </w:pPr>
            <w:r>
              <w:t>17.44</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10.56</w:t>
            </w:r>
          </w:p>
        </w:tc>
        <w:tc>
          <w:tcPr>
            <w:tcW w:w="2551" w:type="dxa"/>
            <w:tcBorders>
              <w:left w:val="single" w:sz="6" w:space="0" w:color="000000"/>
              <w:right w:val="single" w:sz="6" w:space="0" w:color="000000"/>
            </w:tcBorders>
            <w:vAlign w:val="center"/>
          </w:tcPr>
          <w:p>
            <w:pPr>
              <w:pStyle w:val="19"/>
            </w:pPr>
            <w:r>
              <w:t>10.56</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13.12</w:t>
            </w:r>
          </w:p>
        </w:tc>
        <w:tc>
          <w:tcPr>
            <w:tcW w:w="2551" w:type="dxa"/>
            <w:tcBorders>
              <w:left w:val="single" w:sz="6" w:space="0" w:color="000000"/>
              <w:right w:val="single" w:sz="6" w:space="0" w:color="000000"/>
            </w:tcBorders>
            <w:vAlign w:val="center"/>
          </w:tcPr>
          <w:p>
            <w:pPr>
              <w:pStyle w:val="19"/>
            </w:pPr>
            <w:r>
              <w:t>13.12</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5.64</w:t>
            </w:r>
          </w:p>
        </w:tc>
        <w:tc>
          <w:tcPr>
            <w:tcW w:w="2551" w:type="dxa"/>
            <w:tcBorders>
              <w:left w:val="single" w:sz="6" w:space="0" w:color="000000"/>
              <w:right w:val="single" w:sz="6" w:space="0" w:color="000000"/>
            </w:tcBorders>
            <w:vAlign w:val="center"/>
          </w:tcPr>
          <w:p>
            <w:pPr>
              <w:pStyle w:val="19"/>
            </w:pPr>
            <w:r>
              <w:t>5.64</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0.50</w:t>
            </w:r>
          </w:p>
        </w:tc>
        <w:tc>
          <w:tcPr>
            <w:tcW w:w="2551" w:type="dxa"/>
            <w:tcBorders>
              <w:left w:val="single" w:sz="6" w:space="0" w:color="000000"/>
              <w:right w:val="single" w:sz="6" w:space="0" w:color="000000"/>
            </w:tcBorders>
            <w:vAlign w:val="center"/>
          </w:tcPr>
          <w:p>
            <w:pPr>
              <w:pStyle w:val="19"/>
            </w:pPr>
            <w:r>
              <w:t>0.50</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10.90</w:t>
            </w:r>
          </w:p>
        </w:tc>
        <w:tc>
          <w:tcPr>
            <w:tcW w:w="2551" w:type="dxa"/>
            <w:tcBorders>
              <w:left w:val="single" w:sz="6" w:space="0" w:color="000000"/>
              <w:right w:val="single" w:sz="6" w:space="0" w:color="000000"/>
            </w:tcBorders>
            <w:vAlign w:val="center"/>
          </w:tcPr>
          <w:p>
            <w:pPr>
              <w:pStyle w:val="19"/>
            </w:pPr>
            <w:r>
              <w:t>10.90</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30199</w:t>
            </w:r>
          </w:p>
        </w:tc>
        <w:tc>
          <w:tcPr>
            <w:tcW w:w="4535" w:type="dxa"/>
            <w:tcBorders>
              <w:left w:val="single" w:sz="6" w:space="0" w:color="000000"/>
              <w:right w:val="single" w:sz="6" w:space="0" w:color="000000"/>
            </w:tcBorders>
            <w:vAlign w:val="center"/>
          </w:tcPr>
          <w:p>
            <w:pPr>
              <w:pStyle w:val="20"/>
            </w:pPr>
            <w:r>
              <w:t>其他工资福利支出</w:t>
            </w:r>
          </w:p>
        </w:tc>
        <w:tc>
          <w:tcPr>
            <w:tcW w:w="2551" w:type="dxa"/>
            <w:tcBorders>
              <w:left w:val="single" w:sz="6" w:space="0" w:color="000000"/>
              <w:right w:val="single" w:sz="6" w:space="0" w:color="000000"/>
            </w:tcBorders>
            <w:vAlign w:val="center"/>
          </w:tcPr>
          <w:p>
            <w:pPr>
              <w:pStyle w:val="19"/>
            </w:pPr>
            <w:r>
              <w:t>14.65</w:t>
            </w:r>
          </w:p>
        </w:tc>
        <w:tc>
          <w:tcPr>
            <w:tcW w:w="2551" w:type="dxa"/>
            <w:tcBorders>
              <w:left w:val="single" w:sz="6" w:space="0" w:color="000000"/>
              <w:right w:val="single" w:sz="6" w:space="0" w:color="000000"/>
            </w:tcBorders>
            <w:vAlign w:val="center"/>
          </w:tcPr>
          <w:p>
            <w:pPr>
              <w:pStyle w:val="19"/>
            </w:pPr>
            <w:r>
              <w:t>14.65</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7.62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7.62</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1.50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1.50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0.60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0.60</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30213</w:t>
            </w:r>
          </w:p>
        </w:tc>
        <w:tc>
          <w:tcPr>
            <w:tcW w:w="4535" w:type="dxa"/>
            <w:tcBorders>
              <w:left w:val="single" w:sz="6" w:space="0" w:color="000000"/>
              <w:right w:val="single" w:sz="6" w:space="0" w:color="000000"/>
            </w:tcBorders>
            <w:vAlign w:val="center"/>
          </w:tcPr>
          <w:p>
            <w:pPr>
              <w:pStyle w:val="20"/>
            </w:pPr>
            <w:r>
              <w:t>维修（护）费</w:t>
            </w:r>
          </w:p>
        </w:tc>
        <w:tc>
          <w:tcPr>
            <w:tcW w:w="2551" w:type="dxa"/>
            <w:tcBorders>
              <w:left w:val="single" w:sz="6" w:space="0" w:color="000000"/>
              <w:right w:val="single" w:sz="6" w:space="0" w:color="000000"/>
            </w:tcBorders>
            <w:vAlign w:val="center"/>
          </w:tcPr>
          <w:p>
            <w:pPr>
              <w:pStyle w:val="19"/>
            </w:pPr>
            <w:r>
              <w:t>0.25</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0.25</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0.95</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0.95</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4.32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4.32</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13.07</w:t>
            </w:r>
          </w:p>
        </w:tc>
        <w:tc>
          <w:tcPr>
            <w:tcW w:w="2551" w:type="dxa"/>
            <w:tcBorders>
              <w:left w:val="single" w:sz="6" w:space="0" w:color="000000"/>
              <w:right w:val="single" w:sz="6" w:space="0" w:color="000000"/>
            </w:tcBorders>
            <w:vAlign w:val="center"/>
          </w:tcPr>
          <w:p>
            <w:pPr>
              <w:pStyle w:val="19"/>
            </w:pPr>
            <w:r>
              <w:t>13.07</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11.05</w:t>
            </w:r>
          </w:p>
        </w:tc>
        <w:tc>
          <w:tcPr>
            <w:tcW w:w="2551" w:type="dxa"/>
            <w:tcBorders>
              <w:left w:val="single" w:sz="6" w:space="0" w:color="000000"/>
              <w:right w:val="single" w:sz="6" w:space="0" w:color="000000"/>
            </w:tcBorders>
            <w:vAlign w:val="center"/>
          </w:tcPr>
          <w:p>
            <w:pPr>
              <w:pStyle w:val="19"/>
            </w:pPr>
            <w:r>
              <w:t>11.05</w:t>
            </w:r>
          </w:p>
        </w:tc>
        <w:tc>
          <w:tcPr>
            <w:tcW w:w="2551" w:type="dxa"/>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right w:val="single" w:sz="6" w:space="0" w:color="000000"/>
            </w:tcBorders>
            <w:vAlign w:val="center"/>
          </w:tcPr>
          <w:p>
            <w:pPr>
              <w:pStyle w:val="20"/>
            </w:pPr>
            <w:r>
              <w:t>30305</w:t>
            </w:r>
          </w:p>
        </w:tc>
        <w:tc>
          <w:tcPr>
            <w:tcW w:w="4535" w:type="dxa"/>
            <w:tcBorders>
              <w:left w:val="single" w:sz="6" w:space="0" w:color="000000"/>
              <w:right w:val="single" w:sz="6" w:space="0" w:color="000000"/>
            </w:tcBorders>
            <w:vAlign w:val="center"/>
          </w:tcPr>
          <w:p>
            <w:pPr>
              <w:pStyle w:val="20"/>
            </w:pPr>
            <w:r>
              <w:t>生活补助</w:t>
            </w:r>
          </w:p>
        </w:tc>
        <w:tc>
          <w:tcPr>
            <w:tcW w:w="2551" w:type="dxa"/>
            <w:tcBorders>
              <w:left w:val="single" w:sz="6" w:space="0" w:color="000000"/>
              <w:right w:val="single" w:sz="6" w:space="0" w:color="000000"/>
            </w:tcBorders>
            <w:vAlign w:val="center"/>
          </w:tcPr>
          <w:p>
            <w:pPr>
              <w:pStyle w:val="19"/>
            </w:pPr>
            <w:r>
              <w:t>2.02</w:t>
            </w:r>
          </w:p>
        </w:tc>
        <w:tc>
          <w:tcPr>
            <w:tcW w:w="2551" w:type="dxa"/>
            <w:tcBorders>
              <w:left w:val="single" w:sz="6" w:space="0" w:color="000000"/>
              <w:right w:val="single" w:sz="6" w:space="0" w:color="000000"/>
            </w:tcBorders>
            <w:vAlign w:val="center"/>
          </w:tcPr>
          <w:p>
            <w:pPr>
              <w:pStyle w:val="19"/>
            </w:pPr>
            <w:r>
              <w:t>2.02</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7" w:name="_Toc_2_2_0000000007"/>
      <w:r>
        <w:rPr>
          <w:rFonts w:ascii="方正小标宋_GBK" w:eastAsia="方正小标宋_GBK" w:cs="方正小标宋_GBK" w:hAnsi="方正小标宋_GBK"/>
          <w:color w:val="000000"/>
          <w:sz w:val="36"/>
        </w:rPr>
        <w:t>部门预算政府性基金预算财政拨款支出表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542深泽县信访局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8" w:name="_Toc_2_2_0000000008"/>
      <w:r>
        <w:rPr>
          <w:rFonts w:ascii="方正小标宋_GBK" w:eastAsia="方正小标宋_GBK" w:cs="方正小标宋_GBK" w:hAnsi="方正小标宋_GBK"/>
          <w:color w:val="000000"/>
          <w:sz w:val="36"/>
        </w:rPr>
        <w:t>部门预算国有资本经营预算财政拨款支出表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542深泽县信访局</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9" w:name="_Toc_2_2_0000000009"/>
      <w:r>
        <w:rPr>
          <w:rFonts w:ascii="方正小标宋_GBK" w:eastAsia="方正小标宋_GBK" w:cs="方正小标宋_GBK" w:hAnsi="方正小标宋_GBK"/>
          <w:color w:val="000000"/>
          <w:sz w:val="36"/>
        </w:rPr>
        <w:t>部门预算财政拨款“三公”经费支出表</w:t>
      </w:r>
      <w:bookmarkEnd w:id="9"/>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542深泽县信访局</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000000"/>
              <w:right w:val="single" w:sz="6" w:space="0" w:color="000000"/>
            </w:tcBorders>
            <w:vAlign w:val="center"/>
          </w:tcPr>
          <w:p>
            <w:pPr>
              <w:pStyle w:val="22"/>
            </w:pPr>
            <w:r>
              <w:t>合计</w:t>
            </w:r>
          </w:p>
        </w:tc>
        <w:tc>
          <w:tcPr>
            <w:tcW w:w="2381" w:type="dxa"/>
            <w:tcBorders>
              <w:left w:val="single" w:sz="6" w:space="0" w:color="000000"/>
              <w:right w:val="single" w:sz="6" w:space="0" w:color="000000"/>
            </w:tcBorders>
            <w:vAlign w:val="center"/>
          </w:tcPr>
          <w:p>
            <w:pPr>
              <w:pStyle w:val="23"/>
            </w:pPr>
            <w:r>
              <w:t>0.95</w:t>
            </w:r>
          </w:p>
        </w:tc>
        <w:tc>
          <w:tcPr>
            <w:tcW w:w="2381" w:type="dxa"/>
            <w:tcBorders>
              <w:left w:val="single" w:sz="6" w:space="0" w:color="000000"/>
              <w:right w:val="single" w:sz="6" w:space="0" w:color="000000"/>
            </w:tcBorders>
            <w:vAlign w:val="center"/>
          </w:tcPr>
          <w:p>
            <w:pPr>
              <w:pStyle w:val="23"/>
            </w:pPr>
            <w:r>
              <w:t>0.95</w:t>
            </w:r>
          </w:p>
        </w:tc>
        <w:tc>
          <w:tcPr>
            <w:tcW w:w="2381" w:type="dxa"/>
            <w:tcBorders>
              <w:left w:val="single" w:sz="6" w:space="0" w:color="000000"/>
              <w:right w:val="single" w:sz="6" w:space="0" w:color="000000"/>
            </w:tcBorders>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tcBorders>
              <w:left w:val="single" w:sz="6" w:space="0" w:color="000000"/>
              <w:right w:val="single" w:sz="6" w:space="0" w:color="000000"/>
            </w:tcBorders>
            <w:vAlign w:val="center"/>
          </w:tcPr>
          <w:p>
            <w:pPr>
              <w:pStyle w:val="20"/>
            </w:pPr>
            <w:r>
              <w:t>“三公”经费小计</w:t>
            </w:r>
          </w:p>
        </w:tc>
        <w:tc>
          <w:tcPr>
            <w:tcW w:w="2381" w:type="dxa"/>
            <w:tcBorders>
              <w:left w:val="single" w:sz="6" w:space="0" w:color="000000"/>
              <w:right w:val="single" w:sz="6" w:space="0" w:color="000000"/>
            </w:tcBorders>
            <w:vAlign w:val="center"/>
          </w:tcPr>
          <w:p>
            <w:pPr>
              <w:pStyle w:val="19"/>
            </w:pPr>
            <w:r>
              <w:t>0.95</w:t>
            </w:r>
          </w:p>
        </w:tc>
        <w:tc>
          <w:tcPr>
            <w:tcW w:w="2381" w:type="dxa"/>
            <w:tcBorders>
              <w:left w:val="single" w:sz="6" w:space="0" w:color="000000"/>
              <w:right w:val="single" w:sz="6" w:space="0" w:color="000000"/>
            </w:tcBorders>
            <w:vAlign w:val="center"/>
          </w:tcPr>
          <w:p>
            <w:pPr>
              <w:pStyle w:val="19"/>
            </w:pPr>
            <w:r>
              <w:t>0.95</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tcBorders>
              <w:left w:val="single" w:sz="6" w:space="0" w:color="000000"/>
              <w:right w:val="single" w:sz="6" w:space="0" w:color="000000"/>
            </w:tcBorders>
            <w:vAlign w:val="center"/>
          </w:tcPr>
          <w:p>
            <w:pPr>
              <w:pStyle w:val="20"/>
            </w:pPr>
            <w:r>
              <w:t>一、因公出国（境）费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tcBorders>
              <w:left w:val="single" w:sz="6" w:space="0" w:color="000000"/>
              <w:right w:val="single" w:sz="6" w:space="0" w:color="000000"/>
            </w:tcBorders>
            <w:vAlign w:val="center"/>
          </w:tcPr>
          <w:p>
            <w:pPr>
              <w:pStyle w:val="20"/>
            </w:pPr>
            <w:r>
              <w:t xml:space="preserve">    其中：教学科研人员因公出国（境）费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tcBorders>
              <w:left w:val="single" w:sz="6" w:space="0" w:color="000000"/>
              <w:right w:val="single" w:sz="6" w:space="0" w:color="000000"/>
            </w:tcBorders>
            <w:vAlign w:val="center"/>
          </w:tcPr>
          <w:p>
            <w:pPr>
              <w:pStyle w:val="20"/>
            </w:pPr>
            <w:r>
              <w:t xml:space="preserve">          其他因公出国（境）费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tcBorders>
              <w:left w:val="single" w:sz="6" w:space="0" w:color="000000"/>
              <w:right w:val="single" w:sz="6" w:space="0" w:color="000000"/>
            </w:tcBorders>
            <w:vAlign w:val="center"/>
          </w:tcPr>
          <w:p>
            <w:pPr>
              <w:pStyle w:val="20"/>
            </w:pPr>
            <w:r>
              <w:t>二、公务用车购置及运维费</w:t>
            </w:r>
          </w:p>
        </w:tc>
        <w:tc>
          <w:tcPr>
            <w:tcW w:w="2381" w:type="dxa"/>
            <w:tcBorders>
              <w:left w:val="single" w:sz="6" w:space="0" w:color="000000"/>
              <w:right w:val="single" w:sz="6" w:space="0" w:color="000000"/>
            </w:tcBorders>
            <w:vAlign w:val="center"/>
          </w:tcPr>
          <w:p>
            <w:pPr>
              <w:pStyle w:val="19"/>
            </w:pPr>
            <w:r>
              <w:t>0.95</w:t>
            </w:r>
          </w:p>
        </w:tc>
        <w:tc>
          <w:tcPr>
            <w:tcW w:w="2381" w:type="dxa"/>
            <w:tcBorders>
              <w:left w:val="single" w:sz="6" w:space="0" w:color="000000"/>
              <w:right w:val="single" w:sz="6" w:space="0" w:color="000000"/>
            </w:tcBorders>
            <w:vAlign w:val="center"/>
          </w:tcPr>
          <w:p>
            <w:pPr>
              <w:pStyle w:val="19"/>
            </w:pPr>
            <w:r>
              <w:t>0.95</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tcBorders>
              <w:left w:val="single" w:sz="6" w:space="0" w:color="000000"/>
              <w:right w:val="single" w:sz="6" w:space="0" w:color="000000"/>
            </w:tcBorders>
            <w:vAlign w:val="center"/>
          </w:tcPr>
          <w:p>
            <w:pPr>
              <w:pStyle w:val="20"/>
            </w:pPr>
            <w:r>
              <w:t xml:space="preserve">    其中：公务用车购置费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8</w:t>
            </w:r>
          </w:p>
        </w:tc>
        <w:tc>
          <w:tcPr>
            <w:tcW w:w="3798" w:type="dxa"/>
            <w:tcBorders>
              <w:left w:val="single" w:sz="6" w:space="0" w:color="000000"/>
              <w:right w:val="single" w:sz="6" w:space="0" w:color="000000"/>
            </w:tcBorders>
            <w:vAlign w:val="center"/>
          </w:tcPr>
          <w:p>
            <w:pPr>
              <w:pStyle w:val="20"/>
            </w:pPr>
            <w:r>
              <w:t xml:space="preserve">          公务用车运行维护费</w:t>
            </w:r>
          </w:p>
        </w:tc>
        <w:tc>
          <w:tcPr>
            <w:tcW w:w="2381" w:type="dxa"/>
            <w:tcBorders>
              <w:left w:val="single" w:sz="6" w:space="0" w:color="000000"/>
              <w:right w:val="single" w:sz="6" w:space="0" w:color="000000"/>
            </w:tcBorders>
            <w:vAlign w:val="center"/>
          </w:tcPr>
          <w:p>
            <w:pPr>
              <w:pStyle w:val="19"/>
            </w:pPr>
            <w:r>
              <w:t>0.95</w:t>
            </w:r>
          </w:p>
        </w:tc>
        <w:tc>
          <w:tcPr>
            <w:tcW w:w="2381" w:type="dxa"/>
            <w:tcBorders>
              <w:left w:val="single" w:sz="6" w:space="0" w:color="000000"/>
              <w:right w:val="single" w:sz="6" w:space="0" w:color="000000"/>
            </w:tcBorders>
            <w:vAlign w:val="center"/>
          </w:tcPr>
          <w:p>
            <w:pPr>
              <w:pStyle w:val="19"/>
            </w:pPr>
            <w:r>
              <w:t>0.95</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9</w:t>
            </w:r>
          </w:p>
        </w:tc>
        <w:tc>
          <w:tcPr>
            <w:tcW w:w="3798" w:type="dxa"/>
            <w:tcBorders>
              <w:left w:val="single" w:sz="6" w:space="0" w:color="000000"/>
              <w:right w:val="single" w:sz="6" w:space="0" w:color="000000"/>
            </w:tcBorders>
            <w:vAlign w:val="center"/>
          </w:tcPr>
          <w:p>
            <w:pPr>
              <w:pStyle w:val="20"/>
            </w:pPr>
            <w:r>
              <w:t>三、公务接待费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10</w:t>
            </w:r>
          </w:p>
        </w:tc>
        <w:tc>
          <w:tcPr>
            <w:tcW w:w="3798" w:type="dxa"/>
            <w:tcBorders>
              <w:left w:val="single" w:sz="6" w:space="0" w:color="000000"/>
              <w:right w:val="single" w:sz="6" w:space="0" w:color="000000"/>
            </w:tcBorders>
            <w:vAlign w:val="center"/>
          </w:tcPr>
          <w:p>
            <w:pPr>
              <w:pStyle w:val="20"/>
            </w:pPr>
            <w:r>
              <w:t>四、会议费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11</w:t>
            </w:r>
          </w:p>
        </w:tc>
        <w:tc>
          <w:tcPr>
            <w:tcW w:w="3798" w:type="dxa"/>
            <w:tcBorders>
              <w:left w:val="single" w:sz="6" w:space="0" w:color="000000"/>
              <w:right w:val="single" w:sz="6" w:space="0" w:color="000000"/>
            </w:tcBorders>
            <w:vAlign w:val="center"/>
          </w:tcPr>
          <w:p>
            <w:pPr>
              <w:pStyle w:val="20"/>
            </w:pPr>
            <w:r>
              <w:t xml:space="preserve">    其中：省属高校业务性会议费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12</w:t>
            </w:r>
          </w:p>
        </w:tc>
        <w:tc>
          <w:tcPr>
            <w:tcW w:w="3798" w:type="dxa"/>
            <w:tcBorders>
              <w:left w:val="single" w:sz="6" w:space="0" w:color="000000"/>
              <w:right w:val="single" w:sz="6" w:space="0" w:color="000000"/>
            </w:tcBorders>
            <w:vAlign w:val="center"/>
          </w:tcPr>
          <w:p>
            <w:pPr>
              <w:pStyle w:val="20"/>
            </w:pPr>
            <w:r>
              <w:t xml:space="preserve">          其他会议费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13</w:t>
            </w:r>
          </w:p>
        </w:tc>
        <w:tc>
          <w:tcPr>
            <w:tcW w:w="3798" w:type="dxa"/>
            <w:tcBorders>
              <w:left w:val="single" w:sz="6" w:space="0" w:color="000000"/>
              <w:right w:val="single" w:sz="6" w:space="0" w:color="000000"/>
            </w:tcBorders>
            <w:vAlign w:val="center"/>
          </w:tcPr>
          <w:p>
            <w:pPr>
              <w:pStyle w:val="20"/>
            </w:pPr>
            <w:r>
              <w:t>五、培训费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深泽县信访局2026年部门预算信息公开情况说明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深泽县信访局2026年部门预算信息公开情况说明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按照《中华人民共和国预算法》、《地方预决算公开操作规程》和《关于进一步推进预算公开工作的实施意见》规定，现将深泽县信访局2026年部门预算公开如下：</w:t>
      </w:r>
    </w:p>
    <w:p>
      <w:pPr>
        <w:spacing w:before="10" w:after="10" w:line="360" w:lineRule="auto"/>
        <w:ind w:firstLine="640"/>
        <w:jc w:val="left"/>
        <w:outlineLvl w:val="2"/>
      </w:pPr>
      <w:bookmarkStart w:id="10" w:name="_Toc_3_3_0000000010"/>
      <w:r>
        <w:rPr>
          <w:rFonts w:ascii="黑体" w:eastAsia="黑体" w:cs="黑体" w:hAnsi="黑体"/>
          <w:color w:val="000000"/>
          <w:sz w:val="32"/>
        </w:rPr>
        <w:t>一、部门职责及机构设置情况</w:t>
      </w:r>
      <w:bookmarkEnd w:id="10"/>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（一）受理、交办、转送信访人提出的信访事项，告知信访人信访事项办理情况；</w:t>
      </w:r>
    </w:p>
    <w:p>
      <w:pPr>
        <w:pStyle w:val="25"/>
      </w:pPr>
      <w:r>
        <w:t>（二）承办上级和本级国家机关交办、转送的信访事项；</w:t>
      </w:r>
    </w:p>
    <w:p>
      <w:pPr>
        <w:pStyle w:val="25"/>
      </w:pPr>
      <w:r>
        <w:t>（三）协调、调度、检查、督促信访事项的受理、办理及处理意见的落实，提出改进工作,完善政策，追究责任的建议；</w:t>
      </w:r>
    </w:p>
    <w:p>
      <w:pPr>
        <w:pStyle w:val="25"/>
      </w:pPr>
      <w:r>
        <w:t>（四）研究、分析信访情况，开展调查研究，总结交流信访工作经验；</w:t>
      </w:r>
    </w:p>
    <w:p>
      <w:pPr>
        <w:pStyle w:val="25"/>
      </w:pPr>
      <w:r>
        <w:t>（五）征集、办理人民群众建议；</w:t>
      </w:r>
    </w:p>
    <w:p>
      <w:pPr>
        <w:pStyle w:val="25"/>
      </w:pPr>
      <w:r>
        <w:t>（六）宣传有关法律、法规、提供咨询，引导信访人依法、有序信访、逐级走访。</w:t>
      </w:r>
    </w:p>
    <w:p>
      <w:pPr>
        <w:pStyle w:val="25"/>
      </w:pPr>
      <w:r>
        <w:t>（七）承担县委 、县政府交办的其他任务。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深泽县信访局本级</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jc w:val="left"/>
        <w:outlineLvl w:val="2"/>
      </w:pPr>
      <w:bookmarkStart w:id="11" w:name="_Toc_3_3_0000000011"/>
      <w:r>
        <w:rPr>
          <w:rFonts w:ascii="黑体" w:eastAsia="黑体" w:cs="黑体" w:hAnsi="黑体"/>
          <w:color w:val="000000"/>
          <w:sz w:val="32"/>
        </w:rPr>
        <w:t>二、部门预算安排的总体情况</w:t>
      </w:r>
      <w:bookmarkEnd w:id="11"/>
    </w:p>
    <w:p>
      <w:pPr>
        <w:pStyle w:val="26"/>
      </w:pPr>
      <w:r>
        <w:t>按照预算管理有关规定，目前部门预算的编制实行综合预算管理，即全部收入和支出都反映在预算中。深泽县信访局机关及所属事业单位的收支包含在部门预算中。</w:t>
      </w:r>
    </w:p>
    <w:p>
      <w:pPr>
        <w:pStyle w:val="26"/>
      </w:pPr>
      <w:r>
        <w:t>1、收入说明</w:t>
      </w:r>
    </w:p>
    <w:p>
      <w:pPr>
        <w:pStyle w:val="26"/>
      </w:pPr>
      <w:r>
        <w:t>反映本部门当年全部收入。2026年预算收入189.98万元，其中：一般公共预算收入189.98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深泽县信访局年度部门预算中支出预算的总体情况。2026年支出预算189.98万元，其中基本支出159.98万元，包括人员经费152.36万元和日常公用经费7.62万元；项目支出30.00万元，主要为信访工作经费。；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189.98万元，较2025年预算减少8.19万元，其中：基本支出减少4.09万元，主要为水电暖经费的减少。项目支出减少4.10万元，主要为项目调整，其他支出无增减变化。预计下年使用的单位资金结余增加0.00万元。</w:t>
      </w:r>
    </w:p>
    <w:p>
      <w:pPr>
        <w:spacing w:before="10" w:after="10" w:line="360" w:lineRule="auto"/>
        <w:ind w:firstLine="640"/>
        <w:jc w:val="left"/>
        <w:outlineLvl w:val="2"/>
      </w:pPr>
      <w:bookmarkStart w:id="12" w:name="_Toc_3_3_0000000012"/>
      <w:r>
        <w:rPr>
          <w:rFonts w:ascii="黑体" w:eastAsia="黑体" w:cs="黑体" w:hAnsi="黑体"/>
          <w:color w:val="000000"/>
          <w:sz w:val="32"/>
        </w:rPr>
        <w:t>三、机关运行经费安排情况</w:t>
      </w:r>
      <w:bookmarkEnd w:id="12"/>
    </w:p>
    <w:p>
      <w:pPr>
        <w:pStyle w:val="27"/>
      </w:pPr>
      <w:r>
        <w:t>2026年，我部门机关运行经费共计安排7.62万元，主要用于保证机关正常运转的办公费、邮电费、维修（护）费、公务用车运行维护费、其他交通费用等日常运行支出。</w:t>
      </w:r>
    </w:p>
    <w:p>
      <w:pPr>
        <w:spacing w:before="10" w:after="10" w:line="360" w:lineRule="auto"/>
        <w:ind w:firstLine="640"/>
        <w:jc w:val="left"/>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28"/>
      </w:pPr>
      <w:r>
        <w:t>2026年，我部门财政拨款“三公”经费预算安排0.95万元，其中因公出国（境）费0.00万元；公务用车购置及运维费0.95万元（其中：公务用车购置费为0.00万元，公务用车运维费0.95万元)；公务接待费0.00万元。与2025年相比减少0.05万元，增减变化的主要原因是厉行节约，减少开支。</w:t>
      </w:r>
    </w:p>
    <w:p>
      <w:pPr>
        <w:spacing w:before="10" w:after="10" w:line="360" w:lineRule="auto"/>
        <w:ind w:firstLine="640"/>
        <w:jc w:val="left"/>
        <w:outlineLvl w:val="2"/>
      </w:pPr>
      <w:bookmarkStart w:id="14" w:name="_Toc_3_3_0000000014"/>
      <w:r>
        <w:rPr>
          <w:rFonts w:ascii="黑体" w:eastAsia="黑体" w:cs="黑体" w:hAnsi="黑体"/>
          <w:color w:val="000000"/>
          <w:sz w:val="32"/>
        </w:rPr>
        <w:t>五、部门整体绩效目标</w:t>
      </w:r>
      <w:bookmarkEnd w:id="14"/>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1、信访事项办理“三率”（及信访事项及时受理率、按时答复率、群众满意率）在上年基础上稳步、提升，在全市排位达到中上游水平。</w:t>
      </w:r>
    </w:p>
    <w:p>
      <w:pPr>
        <w:pStyle w:val="29"/>
      </w:pPr>
      <w:r>
        <w:t>2、加强信访积案办理力度，“三访”（即进京“非访”、进京集体访、赴省集体访）量较上年有大幅下降。</w:t>
      </w:r>
    </w:p>
    <w:p>
      <w:pPr>
        <w:pStyle w:val="29"/>
      </w:pPr>
      <w:r>
        <w:t>3、做好重大会议和活动期间信访稳定值勤工作，妥善处置突发性、群体性信访事件，畅通信访渠道，提高信访事项办理质量和效率。</w:t>
      </w:r>
    </w:p>
    <w:p>
      <w:pPr>
        <w:pStyle w:val="29"/>
      </w:pPr>
      <w:r>
        <w:t>4、县群众工作中心有效运转，初信初访能够得到及时处理。完成县委、县政府以及上级信访机关交办的其他任务。</w:t>
      </w:r>
    </w:p>
    <w:p>
      <w:pPr>
        <w:pStyle w:val="29"/>
      </w:pPr>
      <w:r>
        <w:t>5、督促检查和指导全县各乡镇党委政府和县直有关部门的信访工作。对乡镇党委、政府和县直有关部门信访工作年度责任目标进行考核，对全县社会治安综合治理和维护社会政治稳定年度责任目标中有关信访工作进行考核。</w:t>
      </w:r>
    </w:p>
    <w:p>
      <w:pPr>
        <w:pStyle w:val="29"/>
      </w:pPr>
      <w:r>
        <w:t>6、协助上级信访机关处理深泽县群众进京上访工作，综合协调处理跨地区、跨部门、跨行业的重要信访问题，协助公安机关维护县委、县政府机关正常工作秩序。</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1.信访业务办理工作</w:t>
      </w:r>
    </w:p>
    <w:p>
      <w:pPr>
        <w:pStyle w:val="30"/>
      </w:pPr>
      <w:r>
        <w:t>绩效目标：畅通信访渠道，减少信访案件，规范信访事项办理、终结。维护社会和谐稳定。</w:t>
      </w:r>
    </w:p>
    <w:p>
      <w:pPr>
        <w:pStyle w:val="30"/>
      </w:pPr>
      <w:r>
        <w:t>绩效指标：信访事项受理及时率达到85%以上</w:t>
      </w:r>
    </w:p>
    <w:p>
      <w:pPr>
        <w:pStyle w:val="30"/>
      </w:pPr>
      <w:r>
        <w:t>2.处置非访、突发性及群体性事件工作</w:t>
      </w:r>
    </w:p>
    <w:p>
      <w:pPr>
        <w:pStyle w:val="30"/>
      </w:pPr>
      <w:r>
        <w:t>绩效目标：妥善处置非正常访，维护社会大局和谐稳定。</w:t>
      </w:r>
    </w:p>
    <w:p>
      <w:pPr>
        <w:pStyle w:val="30"/>
      </w:pPr>
      <w:r>
        <w:t>绩效指标：信访事项按期结案率达到85%以上</w:t>
      </w:r>
    </w:p>
    <w:p>
      <w:pPr>
        <w:pStyle w:val="30"/>
      </w:pPr>
      <w:r>
        <w:t>3.强化源头防范与治理</w:t>
      </w:r>
    </w:p>
    <w:p>
      <w:pPr>
        <w:pStyle w:val="30"/>
      </w:pPr>
      <w:r>
        <w:t>绩效目标：深入开展信访矛盾纠纷排查，把问题隐患发现在初始、解决在当地，从源头上遏制信访增量。</w:t>
      </w:r>
    </w:p>
    <w:p>
      <w:pPr>
        <w:pStyle w:val="30"/>
      </w:pPr>
      <w:r>
        <w:t>绩效指标：县以上交办信访事项办结率达到 90%以上，息诉率达到 80%以上。</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1.完善制度建设。本单位制定完善了预算绩效管理制度、资金管理办法、工作保障制度等，为全年预算绩效目标的实现奠定制度基础。</w:t>
      </w:r>
    </w:p>
    <w:p>
      <w:pPr>
        <w:pStyle w:val="31"/>
      </w:pPr>
      <w:r>
        <w:t>2.加强支出管理。本单位通过优化支出结构、编细编实预算、加快履行政府采购手续、尽快启动项目、及时支付资金、前细化代编预算、按规定及时下达资金等多种措施，确保支出进度达标。</w:t>
      </w:r>
    </w:p>
    <w:p>
      <w:pPr>
        <w:pStyle w:val="31"/>
      </w:pPr>
      <w:r>
        <w:t>3.加强绩效运行监控。本单位按要求开展绩效运行监控，发现问题及时采取措施，确保绩效目标如期保质实现。</w:t>
      </w:r>
    </w:p>
    <w:p>
      <w:pPr>
        <w:pStyle w:val="31"/>
      </w:pPr>
      <w:r>
        <w:t>4.做好绩效自评。本单位按要求开展上年度部门预算绩效自评和重点评价工作，对评价中发现的问题及时整改，调整优化支出结构，提高财政资金使用效益。</w:t>
      </w:r>
    </w:p>
    <w:p>
      <w:pPr>
        <w:pStyle w:val="31"/>
      </w:pPr>
      <w:r>
        <w:t>5.规范财务资产管理。本单位完善财务管理制度，严格审批程序，加强固定资产登记、使用和报废处置管理，做到支出合理，物尽其用。</w:t>
      </w:r>
    </w:p>
    <w:p>
      <w:pPr>
        <w:pStyle w:val="31"/>
      </w:pPr>
      <w:r>
        <w:t>6.加强内部监督。本单位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31"/>
        <w:sectPr>
          <w:pgSz w:w="16840" w:h="11900" w:orient="landscape"/>
          <w:pgMar w:top="1361" w:right="1020" w:bottom="1361" w:left="1020" w:header="720" w:footer="720" w:gutter="0"/>
          <w:docGrid w:linePitch="326" w:charSpace="0"/>
        </w:sectPr>
      </w:pPr>
      <w:r>
        <w:t xml:space="preserve">7.加强宣传培训调研等。本单位加强了人员培训，提高了本部门职工业务素质；加强调研,提出优化财政资金配置、提高资金使用效益的意见意见；加大宣传力度，强化预算绩效管理意识，促进预算绩效管理水平进一步提升。 </w:t>
      </w:r>
    </w:p>
    <w:p>
      <w:pPr>
        <w:spacing w:before="10" w:after="10" w:line="360" w:lineRule="auto"/>
        <w:ind w:firstLine="640"/>
        <w:outlineLvl w:val="2"/>
        <w:rPr>
          <w:rFonts w:ascii="黑体" w:eastAsia="黑体" w:cs="黑体" w:hAnsi="黑体"/>
          <w:color w:val="000000"/>
          <w:sz w:val="32"/>
        </w:rPr>
      </w:pPr>
      <w:bookmarkStart w:id="15" w:name="_Toc_3_3_0000000015"/>
      <w:r>
        <w:rPr>
          <w:rFonts w:ascii="黑体" w:eastAsia="黑体" w:cs="黑体" w:hAnsi="黑体"/>
          <w:color w:val="000000"/>
          <w:sz w:val="32"/>
        </w:rPr>
        <w:t>六、部门主管专项资金预算安排情况及绩效目标</w:t>
      </w:r>
      <w:bookmarkEnd w:id="15"/>
    </w:p>
    <w:p>
      <w:pPr>
        <w:pStyle w:val="31"/>
        <w:rPr>
          <w:rFonts w:hint="eastAsia"/>
          <w:lang w:val="en-US" w:eastAsia="zh-CN"/>
        </w:rPr>
        <w:sectPr>
          <w:pgSz w:w="16840" w:h="11900" w:orient="landscape"/>
          <w:pgMar w:top="1361" w:right="1020" w:bottom="1361" w:left="1020" w:header="720" w:footer="720" w:gutter="0"/>
          <w:docGrid w:linePitch="326" w:charSpace="0"/>
        </w:sectPr>
      </w:pPr>
      <w:r>
        <w:rPr>
          <w:rFonts w:hint="eastAsia"/>
          <w:lang w:val="en-US" w:eastAsia="zh-CN"/>
        </w:rPr>
        <w:t>我部门无专项资</w:t>
      </w:r>
      <w:r>
        <w:rPr>
          <w:lang w:val="en-US" w:eastAsia="zh-CN"/>
        </w:rPr>
        <w:t>金</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1、信访工作经费绩效目标表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13012826P000294100077</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信访工作经费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30.00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30.00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信访工作经费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7.50</w:t>
            </w:r>
          </w:p>
        </w:tc>
        <w:tc>
          <w:tcPr>
            <w:tcW w:w="2835" w:type="dxa"/>
            <w:tcBorders>
              <w:left w:val="single" w:sz="6" w:space="0" w:color="000000"/>
              <w:right w:val="single" w:sz="6" w:space="0" w:color="000000"/>
            </w:tcBorders>
            <w:vAlign w:val="center"/>
          </w:tcPr>
          <w:p>
            <w:pPr>
              <w:pStyle w:val="21"/>
            </w:pPr>
            <w:r>
              <w:t>15.00</w:t>
            </w:r>
          </w:p>
        </w:tc>
        <w:tc>
          <w:tcPr>
            <w:tcW w:w="2551" w:type="dxa"/>
            <w:tcBorders>
              <w:left w:val="single" w:sz="6" w:space="0" w:color="000000"/>
              <w:right w:val="single" w:sz="6" w:space="0" w:color="000000"/>
            </w:tcBorders>
            <w:vAlign w:val="center"/>
          </w:tcPr>
          <w:p>
            <w:pPr>
              <w:pStyle w:val="21"/>
            </w:pPr>
            <w:r>
              <w:t>22.50</w:t>
            </w:r>
          </w:p>
        </w:tc>
        <w:tc>
          <w:tcPr>
            <w:tcW w:w="3544" w:type="dxa"/>
            <w:gridSpan w:val="2"/>
            <w:vAlign w:val="center"/>
          </w:tcPr>
          <w:p>
            <w:pPr>
              <w:pStyle w:val="21"/>
            </w:pPr>
            <w:r>
              <w:t>30.00</w:t>
            </w:r>
          </w:p>
        </w:tc>
      </w:tr>
      <w:tr>
        <w:trPr>
          <w:trHeight w:val="369"/>
        </w:trPr>
        <w:tc>
          <w:tcPr>
            <w:tcW w:w="1276" w:type="dxa"/>
            <w:vAlign w:val="center"/>
          </w:tcPr>
          <w:p>
            <w:pPr>
              <w:pStyle w:val="18"/>
            </w:pPr>
            <w:r>
              <w:t>绩效目标</w:t>
            </w:r>
          </w:p>
        </w:tc>
        <w:tc>
          <w:tcPr>
            <w:tcW w:w="14033" w:type="dxa"/>
            <w:gridSpan w:val="6"/>
            <w:vAlign w:val="center"/>
          </w:tcPr>
          <w:p>
            <w:pPr>
              <w:pStyle w:val="20"/>
            </w:pPr>
            <w:r>
              <w:t>1.做好2025年重大政治活动期间和重要敏感节点信访保障工作；保障信访工作人员差旅、办公、会议、业务培训等工作需求，推动信访工作开展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督办信访案件数</w:t>
            </w:r>
          </w:p>
        </w:tc>
        <w:tc>
          <w:tcPr>
            <w:tcW w:w="5386" w:type="dxa"/>
            <w:tcBorders>
              <w:left w:val="single" w:sz="6" w:space="0" w:color="000000"/>
              <w:right w:val="single" w:sz="6" w:space="0" w:color="000000"/>
            </w:tcBorders>
            <w:vAlign w:val="center"/>
          </w:tcPr>
          <w:p>
            <w:pPr>
              <w:pStyle w:val="20"/>
            </w:pPr>
            <w:r>
              <w:t>反映年度督办案件数量（次）</w:t>
            </w:r>
          </w:p>
        </w:tc>
        <w:tc>
          <w:tcPr>
            <w:tcW w:w="2268" w:type="dxa"/>
            <w:tcBorders>
              <w:left w:val="single" w:sz="6" w:space="0" w:color="000000"/>
              <w:right w:val="single" w:sz="6" w:space="0" w:color="000000"/>
            </w:tcBorders>
            <w:vAlign w:val="center"/>
          </w:tcPr>
          <w:p>
            <w:pPr>
              <w:pStyle w:val="20"/>
            </w:pPr>
            <w:r>
              <w:t>≥85件</w:t>
            </w:r>
          </w:p>
        </w:tc>
        <w:tc>
          <w:tcPr>
            <w:tcW w:w="1276" w:type="dxa"/>
            <w:vAlign w:val="center"/>
          </w:tcPr>
          <w:p>
            <w:pPr>
              <w:pStyle w:val="20"/>
            </w:pPr>
            <w:r>
              <w:t>市信访局工作要求</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按期结案率</w:t>
            </w:r>
          </w:p>
        </w:tc>
        <w:tc>
          <w:tcPr>
            <w:tcW w:w="5386" w:type="dxa"/>
            <w:tcBorders>
              <w:left w:val="single" w:sz="6" w:space="0" w:color="000000"/>
              <w:right w:val="single" w:sz="6" w:space="0" w:color="000000"/>
            </w:tcBorders>
            <w:vAlign w:val="center"/>
          </w:tcPr>
          <w:p>
            <w:pPr>
              <w:pStyle w:val="20"/>
            </w:pPr>
            <w:r>
              <w:t>年度内已按期办结的案件数量占案件总数的比例</w:t>
            </w:r>
          </w:p>
        </w:tc>
        <w:tc>
          <w:tcPr>
            <w:tcW w:w="2268" w:type="dxa"/>
            <w:tcBorders>
              <w:left w:val="single" w:sz="6" w:space="0" w:color="000000"/>
              <w:right w:val="single" w:sz="6" w:space="0" w:color="000000"/>
            </w:tcBorders>
            <w:vAlign w:val="center"/>
          </w:tcPr>
          <w:p>
            <w:pPr>
              <w:pStyle w:val="20"/>
            </w:pPr>
            <w:r>
              <w:t>≥91%</w:t>
            </w:r>
          </w:p>
        </w:tc>
        <w:tc>
          <w:tcPr>
            <w:tcW w:w="1276" w:type="dxa"/>
            <w:vAlign w:val="center"/>
          </w:tcPr>
          <w:p>
            <w:pPr>
              <w:pStyle w:val="20"/>
            </w:pPr>
            <w:r>
              <w:t>依据近三年数据测定</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信访事项受理及时率</w:t>
            </w:r>
          </w:p>
        </w:tc>
        <w:tc>
          <w:tcPr>
            <w:tcW w:w="5386" w:type="dxa"/>
            <w:tcBorders>
              <w:left w:val="single" w:sz="6" w:space="0" w:color="000000"/>
              <w:right w:val="single" w:sz="6" w:space="0" w:color="000000"/>
            </w:tcBorders>
            <w:vAlign w:val="center"/>
          </w:tcPr>
          <w:p>
            <w:pPr>
              <w:pStyle w:val="20"/>
            </w:pPr>
            <w:r>
              <w:t>及时受理的信访事项数量占信访事项数量的比例</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依据近三年数据测定</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预算执行情况</w:t>
            </w:r>
          </w:p>
        </w:tc>
        <w:tc>
          <w:tcPr>
            <w:tcW w:w="5386" w:type="dxa"/>
            <w:tcBorders>
              <w:left w:val="single" w:sz="6" w:space="0" w:color="000000"/>
              <w:right w:val="single" w:sz="6" w:space="0" w:color="000000"/>
            </w:tcBorders>
            <w:vAlign w:val="center"/>
          </w:tcPr>
          <w:p>
            <w:pPr>
              <w:pStyle w:val="20"/>
            </w:pPr>
            <w:r>
              <w:t>预算执行情况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依据近三年数据测定</w:t>
            </w:r>
          </w:p>
        </w:tc>
      </w:tr>
      <w:tr>
        <w:trPr>
          <w:trHeight w:val="397"/>
        </w:trPr>
        <w:tc>
          <w:tcPr>
            <w:tcW w:w="1276" w:type="dxa"/>
            <w:vMerge w:val="restart"/>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达到预期的社会效益</w:t>
            </w:r>
          </w:p>
        </w:tc>
        <w:tc>
          <w:tcPr>
            <w:tcW w:w="5386" w:type="dxa"/>
            <w:tcBorders>
              <w:left w:val="single" w:sz="6" w:space="0" w:color="000000"/>
              <w:right w:val="single" w:sz="6" w:space="0" w:color="000000"/>
            </w:tcBorders>
            <w:vAlign w:val="center"/>
          </w:tcPr>
          <w:p>
            <w:pPr>
              <w:pStyle w:val="20"/>
            </w:pPr>
            <w:r>
              <w:t>项目社会效益显著</w:t>
            </w:r>
          </w:p>
        </w:tc>
        <w:tc>
          <w:tcPr>
            <w:tcW w:w="2268" w:type="dxa"/>
            <w:tcBorders>
              <w:left w:val="single" w:sz="6" w:space="0" w:color="000000"/>
              <w:right w:val="single" w:sz="6" w:space="0" w:color="000000"/>
            </w:tcBorders>
            <w:vAlign w:val="center"/>
          </w:tcPr>
          <w:p>
            <w:pPr>
              <w:pStyle w:val="20"/>
            </w:pPr>
            <w:r>
              <w:t>年度工作计划</w:t>
            </w:r>
          </w:p>
        </w:tc>
        <w:tc>
          <w:tcPr>
            <w:tcW w:w="1276" w:type="dxa"/>
            <w:vAlign w:val="center"/>
          </w:tcPr>
          <w:p>
            <w:pPr>
              <w:pStyle w:val="20"/>
            </w:pPr>
            <w:r>
              <w:t>依据近三年数据测定</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提高社会稳定水平</w:t>
            </w:r>
          </w:p>
        </w:tc>
        <w:tc>
          <w:tcPr>
            <w:tcW w:w="5386" w:type="dxa"/>
            <w:tcBorders>
              <w:left w:val="single" w:sz="6" w:space="0" w:color="000000"/>
              <w:right w:val="single" w:sz="6" w:space="0" w:color="000000"/>
            </w:tcBorders>
            <w:vAlign w:val="center"/>
          </w:tcPr>
          <w:p>
            <w:pPr>
              <w:pStyle w:val="20"/>
            </w:pPr>
            <w:r>
              <w:t>信访工作开展对全市社会稳定水平影响</w:t>
            </w:r>
          </w:p>
        </w:tc>
        <w:tc>
          <w:tcPr>
            <w:tcW w:w="2268" w:type="dxa"/>
            <w:tcBorders>
              <w:left w:val="single" w:sz="6" w:space="0" w:color="000000"/>
              <w:right w:val="single" w:sz="6" w:space="0" w:color="000000"/>
            </w:tcBorders>
            <w:vAlign w:val="center"/>
          </w:tcPr>
          <w:p>
            <w:pPr>
              <w:pStyle w:val="20"/>
            </w:pPr>
            <w:r>
              <w:t>年度工作计划</w:t>
            </w:r>
          </w:p>
        </w:tc>
        <w:tc>
          <w:tcPr>
            <w:tcW w:w="1276" w:type="dxa"/>
            <w:vAlign w:val="center"/>
          </w:tcPr>
          <w:p>
            <w:pPr>
              <w:pStyle w:val="20"/>
            </w:pPr>
            <w:r>
              <w:t>依据近三年数据测定</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信访群众满意度</w:t>
            </w:r>
          </w:p>
        </w:tc>
        <w:tc>
          <w:tcPr>
            <w:tcW w:w="5386" w:type="dxa"/>
            <w:tcBorders>
              <w:left w:val="single" w:sz="6" w:space="0" w:color="000000"/>
              <w:right w:val="single" w:sz="6" w:space="0" w:color="000000"/>
            </w:tcBorders>
            <w:vAlign w:val="center"/>
          </w:tcPr>
          <w:p>
            <w:pPr>
              <w:pStyle w:val="20"/>
            </w:pPr>
            <w:r>
              <w:t>反映信访群众满意度</w:t>
            </w:r>
          </w:p>
        </w:tc>
        <w:tc>
          <w:tcPr>
            <w:tcW w:w="2268" w:type="dxa"/>
            <w:tcBorders>
              <w:left w:val="single" w:sz="6" w:space="0" w:color="000000"/>
              <w:right w:val="single" w:sz="6" w:space="0" w:color="000000"/>
            </w:tcBorders>
            <w:vAlign w:val="center"/>
          </w:tcPr>
          <w:p>
            <w:pPr>
              <w:pStyle w:val="20"/>
            </w:pPr>
            <w:r>
              <w:t>≥95%</w:t>
            </w:r>
          </w:p>
        </w:tc>
        <w:tc>
          <w:tcPr>
            <w:tcW w:w="1276" w:type="dxa"/>
            <w:vAlign w:val="center"/>
          </w:tcPr>
          <w:p>
            <w:pPr>
              <w:pStyle w:val="20"/>
            </w:pPr>
            <w:r>
              <w:t>年度满意度测评</w:t>
            </w:r>
          </w:p>
        </w:tc>
      </w:tr>
    </w:tbl>
    <w:p>
      <w:pPr>
        <w:sectPr>
          <w:type w:val="continuous"/>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542深泽县信访局</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2"/>
            </w:pPr>
            <w:r>
              <w:t>合  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0.20</w:t>
            </w:r>
          </w:p>
        </w:tc>
        <w:tc>
          <w:tcPr>
            <w:tcW w:w="964" w:type="dxa"/>
            <w:tcBorders>
              <w:left w:val="single" w:sz="6" w:space="0" w:color="000000"/>
              <w:right w:val="single" w:sz="6" w:space="0" w:color="000000"/>
            </w:tcBorders>
            <w:vAlign w:val="center"/>
          </w:tcPr>
          <w:p>
            <w:pPr>
              <w:pStyle w:val="23"/>
            </w:pPr>
            <w:r>
              <w:t>0.20</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vAlign w:val="center"/>
          </w:tcPr>
          <w:p>
            <w:pPr>
              <w:pStyle w:val="23"/>
            </w:pPr>
            <w:r>
              <w:t>0.20</w:t>
            </w:r>
          </w:p>
        </w:tc>
      </w:tr>
      <w:tr>
        <w:tc>
          <w:tcPr>
            <w:tcW w:w="1701" w:type="dxa"/>
            <w:vAlign w:val="center"/>
          </w:tcPr>
          <w:p>
            <w:pPr>
              <w:pStyle w:val="22"/>
            </w:pPr>
            <w:r>
              <w:t>深泽县信访局本级小计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0.20</w:t>
            </w:r>
          </w:p>
        </w:tc>
        <w:tc>
          <w:tcPr>
            <w:tcW w:w="964" w:type="dxa"/>
            <w:tcBorders>
              <w:left w:val="single" w:sz="6" w:space="0" w:color="000000"/>
              <w:right w:val="single" w:sz="6" w:space="0" w:color="000000"/>
            </w:tcBorders>
            <w:vAlign w:val="center"/>
          </w:tcPr>
          <w:p>
            <w:pPr>
              <w:pStyle w:val="23"/>
            </w:pPr>
            <w:r>
              <w:t>0.20</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vAlign w:val="center"/>
          </w:tcPr>
          <w:p>
            <w:pPr>
              <w:pStyle w:val="23"/>
            </w:pPr>
            <w:r>
              <w:t>0.20</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3.30</w:t>
            </w:r>
          </w:p>
        </w:tc>
        <w:tc>
          <w:tcPr>
            <w:tcW w:w="1134" w:type="dxa"/>
            <w:tcBorders>
              <w:left w:val="single" w:sz="6" w:space="0" w:color="000000"/>
              <w:right w:val="single" w:sz="6" w:space="0" w:color="000000"/>
            </w:tcBorders>
            <w:vAlign w:val="center"/>
          </w:tcPr>
          <w:p>
            <w:pPr>
              <w:pStyle w:val="20"/>
            </w:pPr>
            <w:r>
              <w:t>复印纸</w:t>
            </w:r>
          </w:p>
        </w:tc>
        <w:tc>
          <w:tcPr>
            <w:tcW w:w="1134" w:type="dxa"/>
            <w:tcBorders>
              <w:left w:val="single" w:sz="6" w:space="0" w:color="000000"/>
              <w:right w:val="single" w:sz="6" w:space="0" w:color="000000"/>
            </w:tcBorders>
            <w:vAlign w:val="center"/>
          </w:tcPr>
          <w:p>
            <w:pPr>
              <w:pStyle w:val="20"/>
            </w:pPr>
            <w:r>
              <w:t>A05040101</w:t>
            </w:r>
          </w:p>
        </w:tc>
        <w:tc>
          <w:tcPr>
            <w:tcW w:w="709" w:type="dxa"/>
            <w:tcBorders>
              <w:left w:val="single" w:sz="6" w:space="0" w:color="000000"/>
              <w:right w:val="single" w:sz="6" w:space="0" w:color="000000"/>
            </w:tcBorders>
            <w:vAlign w:val="center"/>
          </w:tcPr>
          <w:p>
            <w:pPr>
              <w:pStyle w:val="21"/>
            </w:pPr>
            <w:r>
              <w:t>批</w:t>
            </w:r>
          </w:p>
        </w:tc>
        <w:tc>
          <w:tcPr>
            <w:tcW w:w="850" w:type="dxa"/>
            <w:tcBorders>
              <w:left w:val="single" w:sz="6" w:space="0" w:color="000000"/>
              <w:right w:val="single" w:sz="6" w:space="0" w:color="000000"/>
            </w:tcBorders>
            <w:vAlign w:val="center"/>
          </w:tcPr>
          <w:p>
            <w:pPr>
              <w:pStyle w:val="19"/>
            </w:pPr>
            <w:r>
              <w:t>1</w:t>
            </w:r>
          </w:p>
        </w:tc>
        <w:tc>
          <w:tcPr>
            <w:tcW w:w="850" w:type="dxa"/>
            <w:tcBorders>
              <w:left w:val="single" w:sz="6" w:space="0" w:color="000000"/>
              <w:right w:val="single" w:sz="6" w:space="0" w:color="000000"/>
            </w:tcBorders>
            <w:vAlign w:val="center"/>
          </w:tcPr>
          <w:p>
            <w:pPr>
              <w:pStyle w:val="19"/>
            </w:pPr>
            <w:r>
              <w:t>0.20</w:t>
            </w:r>
          </w:p>
        </w:tc>
        <w:tc>
          <w:tcPr>
            <w:tcW w:w="964" w:type="dxa"/>
            <w:tcBorders>
              <w:left w:val="single" w:sz="6" w:space="0" w:color="000000"/>
              <w:right w:val="single" w:sz="6" w:space="0" w:color="000000"/>
            </w:tcBorders>
            <w:vAlign w:val="center"/>
          </w:tcPr>
          <w:p>
            <w:pPr>
              <w:pStyle w:val="19"/>
            </w:pPr>
            <w:r>
              <w:t>0.20</w:t>
            </w:r>
          </w:p>
        </w:tc>
        <w:tc>
          <w:tcPr>
            <w:tcW w:w="964" w:type="dxa"/>
            <w:tcBorders>
              <w:left w:val="single" w:sz="6" w:space="0" w:color="000000"/>
              <w:right w:val="single" w:sz="6" w:space="0" w:color="000000"/>
            </w:tcBorders>
            <w:vAlign w:val="center"/>
          </w:tcPr>
          <w:p>
            <w:pPr>
              <w:pStyle w:val="19"/>
            </w:pPr>
            <w:r>
              <w:t>0.20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r>
              <w:t>0.20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深泽县信访局（含所属单位）上年末固定资产金额为63.09万元（详见下表）。本年度拟购置固定资产总额为0.00万元，已按要求列入政府采购预算，详见政府采购预算表。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542深泽县信访局</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r>
              <w:t>196</w:t>
            </w:r>
          </w:p>
        </w:tc>
        <w:tc>
          <w:tcPr>
            <w:tcW w:w="2835" w:type="dxa"/>
            <w:vAlign w:val="center"/>
          </w:tcPr>
          <w:p>
            <w:pPr>
              <w:pStyle w:val="19"/>
            </w:pPr>
            <w:r>
              <w:t>63.09</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1</w:t>
            </w:r>
          </w:p>
        </w:tc>
        <w:tc>
          <w:tcPr>
            <w:tcW w:w="2835" w:type="dxa"/>
            <w:vAlign w:val="center"/>
          </w:tcPr>
          <w:p>
            <w:pPr>
              <w:pStyle w:val="19"/>
            </w:pPr>
            <w:r>
              <w:t>10.28</w:t>
            </w: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195</w:t>
            </w:r>
          </w:p>
        </w:tc>
        <w:tc>
          <w:tcPr>
            <w:tcW w:w="2835" w:type="dxa"/>
            <w:vAlign w:val="center"/>
          </w:tcPr>
          <w:p>
            <w:pPr>
              <w:pStyle w:val="19"/>
            </w:pPr>
            <w:r>
              <w:t>52.81</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3000509000000000000"/>
    <w:charset w:val="86"/>
    <w:family w:val="script"/>
    <w:pitch w:val="variable"/>
    <w:sig w:usb0="00000001" w:usb1="080E0000" w:usb2="00000000" w:usb3="00000000" w:csb0="00040000" w:csb1="00000000"/>
  </w:font>
  <w:font w:name="方正小标宋_GBK">
    <w:panose1 w:val="03000509000000000000"/>
    <w:charset w:val="86"/>
    <w:family w:val="script"/>
    <w:pitch w:val="variable"/>
    <w:sig w:usb0="00000001" w:usb1="080E0000" w:usb2="00000000" w:usb3="00000000" w:csb0="00040000" w:csb1="00000000"/>
  </w:font>
  <w:font w:name="方正书宋_GBK">
    <w:panose1 w:val="03000509000000000000"/>
    <w:charset w:val="86"/>
    <w:family w:val="script"/>
    <w:pitch w:val="variable"/>
    <w:sig w:usb0="00000001" w:usb1="080E0000" w:usb2="00000000" w:usb3="00000000" w:csb0="00040000" w:csb1="00000000"/>
  </w:font>
  <w:font w:name="Times New Roman">
    <w:panose1 w:val="02020603050405020304"/>
    <w:charset w:val="00"/>
    <w:family w:val="auto"/>
    <w:pitch w:val="variable"/>
    <w:sig w:usb0="00000A87" w:usb1="00000000" w:usb2="00000000" w:usb3="00000000" w:csb0="400001BF" w:csb1="DFF70000"/>
  </w:font>
  <w:font w:name="方正仿宋_GBK">
    <w:panose1 w:val="03000509000000000000"/>
    <w:charset w:val="86"/>
    <w:family w:val="script"/>
    <w:pitch w:val="variable"/>
    <w:sig w:usb0="00000001" w:usb1="080E0000" w:usb2="00000000" w:usb3="00000000" w:csb0="0004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25</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24</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宋体"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3 5 12 0 0 1 0 0 0 3000 0 1 1 1 1"/>
    <sectPr/>
    <sectPr/>
    <sectPr/>
    <sectPr/>
    <sectPr/>
    <sectPr/>
    <sectPr/>
    <sectPr/>
    <sectPr/>
    <sectPr/>
    <sectPr/>
    <sectPr/>
    <sectPr/>
    <sectPr/>
    <sectPr/>
  </customProps>
</customData>
</file>

<file path=customXml/itemProps1.xml><?xml version="1.0" encoding="utf-8"?>
<ds:datastoreItem xmlns:ds="http://schemas.openxmlformats.org/officeDocument/2006/customXml" ds:itemID="{93C2C574-8044-4F6B-A827-8D5795B5E151}">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6</TotalTime>
  <Application>Yozo_Office27021597764231179</Application>
  <Pages>26</Pages>
  <Words>0</Words>
  <Characters>8662</Characters>
  <Lines>0</Lines>
  <Paragraphs>136</Paragraphs>
  <CharactersWithSpaces>11550</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2026-02-10T16:20:27Z</dcterms:created>
  <dcterms:modified xsi:type="dcterms:W3CDTF">2026-02-10T08:29:56Z</dcterms:modified>
</cp:coreProperties>
</file>