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426深泽县应急管理局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544.94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463.20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544.94</w:t>
            </w:r>
          </w:p>
        </w:tc>
        <w:tc>
          <w:tcPr>
            <w:tcW w:w="4535" w:type="dxa"/>
            <w:vAlign w:val="center"/>
          </w:tcPr>
          <w:p>
            <w:pPr>
              <w:pStyle w:val="15"/>
            </w:pPr>
            <w:r>
              <w:t>本年支出合计</w:t>
            </w:r>
          </w:p>
        </w:tc>
        <w:tc>
          <w:tcPr>
            <w:tcW w:w="2126" w:type="dxa"/>
            <w:vAlign w:val="center"/>
          </w:tcPr>
          <w:p>
            <w:pPr>
              <w:pStyle w:val="16"/>
            </w:pPr>
            <w:r>
              <w:t>563.22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18.28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563.22</w:t>
            </w:r>
          </w:p>
        </w:tc>
        <w:tc>
          <w:tcPr>
            <w:tcW w:w="4535" w:type="dxa"/>
            <w:vAlign w:val="center"/>
          </w:tcPr>
          <w:p>
            <w:pPr>
              <w:pStyle w:val="15"/>
            </w:pPr>
            <w:r>
              <w:t>支出总计</w:t>
            </w:r>
          </w:p>
        </w:tc>
        <w:tc>
          <w:tcPr>
            <w:tcW w:w="2126" w:type="dxa"/>
            <w:vAlign w:val="center"/>
          </w:tcPr>
          <w:p>
            <w:pPr>
              <w:pStyle w:val="16"/>
            </w:pPr>
            <w:r>
              <w:t>563.22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4"/>
        <w:gridCol w:w="1680"/>
        <w:gridCol w:w="851"/>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426深泽县应急管理局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834" w:type="dxa"/>
            <w:gridSpan w:val="2"/>
            <w:vAlign w:val="center"/>
          </w:tcPr>
          <w:p>
            <w:pPr>
              <w:pStyle w:val="11"/>
            </w:pPr>
            <w:r>
              <w:t>功能分类科目</w:t>
            </w:r>
          </w:p>
        </w:tc>
        <w:tc>
          <w:tcPr>
            <w:tcW w:w="851"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54" w:type="dxa"/>
            <w:vAlign w:val="center"/>
          </w:tcPr>
          <w:p>
            <w:pPr>
              <w:pStyle w:val="11"/>
            </w:pPr>
            <w:r>
              <w:t>科目    编码</w:t>
            </w:r>
          </w:p>
        </w:tc>
        <w:tc>
          <w:tcPr>
            <w:tcW w:w="1680" w:type="dxa"/>
            <w:vAlign w:val="center"/>
          </w:tcPr>
          <w:p>
            <w:pPr>
              <w:pStyle w:val="11"/>
            </w:pPr>
            <w:r>
              <w:t>科目名称</w:t>
            </w:r>
          </w:p>
        </w:tc>
        <w:tc>
          <w:tcPr>
            <w:tcW w:w="851"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54" w:type="dxa"/>
            <w:vAlign w:val="center"/>
          </w:tcPr>
          <w:p>
            <w:pPr>
              <w:pStyle w:val="11"/>
            </w:pPr>
            <w:r>
              <w:t>1</w:t>
            </w:r>
          </w:p>
        </w:tc>
        <w:tc>
          <w:tcPr>
            <w:tcW w:w="1680" w:type="dxa"/>
            <w:vAlign w:val="center"/>
          </w:tcPr>
          <w:p>
            <w:pPr>
              <w:pStyle w:val="11"/>
            </w:pPr>
            <w:r>
              <w:t>2</w:t>
            </w:r>
          </w:p>
        </w:tc>
        <w:tc>
          <w:tcPr>
            <w:tcW w:w="851"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54" w:type="dxa"/>
            <w:vAlign w:val="center"/>
          </w:tcPr>
          <w:p>
            <w:pPr>
              <w:pStyle w:val="17"/>
            </w:pPr>
          </w:p>
        </w:tc>
        <w:tc>
          <w:tcPr>
            <w:tcW w:w="1680" w:type="dxa"/>
            <w:vAlign w:val="center"/>
          </w:tcPr>
          <w:p>
            <w:pPr>
              <w:pStyle w:val="15"/>
            </w:pPr>
            <w:r>
              <w:t>合计</w:t>
            </w:r>
          </w:p>
        </w:tc>
        <w:tc>
          <w:tcPr>
            <w:tcW w:w="851" w:type="dxa"/>
            <w:vAlign w:val="center"/>
          </w:tcPr>
          <w:p>
            <w:pPr>
              <w:pStyle w:val="16"/>
            </w:pPr>
            <w:r>
              <w:t>563.22</w:t>
            </w:r>
          </w:p>
        </w:tc>
        <w:tc>
          <w:tcPr>
            <w:tcW w:w="1134" w:type="dxa"/>
            <w:vAlign w:val="center"/>
          </w:tcPr>
          <w:p>
            <w:pPr>
              <w:pStyle w:val="16"/>
            </w:pPr>
            <w:r>
              <w:t>544.94</w:t>
            </w:r>
          </w:p>
        </w:tc>
        <w:tc>
          <w:tcPr>
            <w:tcW w:w="1134" w:type="dxa"/>
            <w:vAlign w:val="center"/>
          </w:tcPr>
          <w:p>
            <w:pPr>
              <w:pStyle w:val="16"/>
            </w:pPr>
            <w:r>
              <w:t>544.94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54" w:type="dxa"/>
            <w:vAlign w:val="center"/>
          </w:tcPr>
          <w:p>
            <w:pPr>
              <w:pStyle w:val="13"/>
            </w:pPr>
            <w:r>
              <w:t>208</w:t>
            </w:r>
          </w:p>
        </w:tc>
        <w:tc>
          <w:tcPr>
            <w:tcW w:w="1680" w:type="dxa"/>
            <w:vAlign w:val="center"/>
          </w:tcPr>
          <w:p>
            <w:pPr>
              <w:pStyle w:val="13"/>
            </w:pPr>
            <w:r>
              <w:t>社会保障和就业支出</w:t>
            </w:r>
          </w:p>
        </w:tc>
        <w:tc>
          <w:tcPr>
            <w:tcW w:w="851" w:type="dxa"/>
            <w:vAlign w:val="center"/>
          </w:tcPr>
          <w:p>
            <w:pPr>
              <w:pStyle w:val="12"/>
            </w:pPr>
            <w:r>
              <w:t>43.80</w:t>
            </w:r>
          </w:p>
        </w:tc>
        <w:tc>
          <w:tcPr>
            <w:tcW w:w="1134" w:type="dxa"/>
            <w:vAlign w:val="center"/>
          </w:tcPr>
          <w:p>
            <w:pPr>
              <w:pStyle w:val="12"/>
            </w:pPr>
            <w:r>
              <w:t>43.80</w:t>
            </w:r>
          </w:p>
        </w:tc>
        <w:tc>
          <w:tcPr>
            <w:tcW w:w="1134" w:type="dxa"/>
            <w:vAlign w:val="center"/>
          </w:tcPr>
          <w:p>
            <w:pPr>
              <w:pStyle w:val="12"/>
            </w:pPr>
            <w:r>
              <w:t>43.80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54" w:type="dxa"/>
            <w:vAlign w:val="center"/>
          </w:tcPr>
          <w:p>
            <w:pPr>
              <w:pStyle w:val="13"/>
            </w:pPr>
            <w:r>
              <w:t>20805</w:t>
            </w:r>
          </w:p>
        </w:tc>
        <w:tc>
          <w:tcPr>
            <w:tcW w:w="1680" w:type="dxa"/>
            <w:vAlign w:val="center"/>
          </w:tcPr>
          <w:p>
            <w:pPr>
              <w:pStyle w:val="13"/>
            </w:pPr>
            <w:r>
              <w:t>行政事业单位养老支出</w:t>
            </w:r>
          </w:p>
        </w:tc>
        <w:tc>
          <w:tcPr>
            <w:tcW w:w="851" w:type="dxa"/>
            <w:vAlign w:val="center"/>
          </w:tcPr>
          <w:p>
            <w:pPr>
              <w:pStyle w:val="12"/>
            </w:pPr>
            <w:r>
              <w:t>43.80</w:t>
            </w:r>
          </w:p>
        </w:tc>
        <w:tc>
          <w:tcPr>
            <w:tcW w:w="1134" w:type="dxa"/>
            <w:vAlign w:val="center"/>
          </w:tcPr>
          <w:p>
            <w:pPr>
              <w:pStyle w:val="12"/>
            </w:pPr>
            <w:r>
              <w:t>43.80</w:t>
            </w:r>
          </w:p>
        </w:tc>
        <w:tc>
          <w:tcPr>
            <w:tcW w:w="1134" w:type="dxa"/>
            <w:vAlign w:val="center"/>
          </w:tcPr>
          <w:p>
            <w:pPr>
              <w:pStyle w:val="12"/>
            </w:pPr>
            <w:r>
              <w:t>43.80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54" w:type="dxa"/>
            <w:vAlign w:val="center"/>
          </w:tcPr>
          <w:p>
            <w:pPr>
              <w:pStyle w:val="13"/>
            </w:pPr>
            <w:r>
              <w:t>2080505</w:t>
            </w:r>
          </w:p>
        </w:tc>
        <w:tc>
          <w:tcPr>
            <w:tcW w:w="1680" w:type="dxa"/>
            <w:vAlign w:val="center"/>
          </w:tcPr>
          <w:p>
            <w:pPr>
              <w:pStyle w:val="13"/>
            </w:pPr>
            <w:r>
              <w:t>机关事业单位基本养老保险缴费支出</w:t>
            </w:r>
          </w:p>
        </w:tc>
        <w:tc>
          <w:tcPr>
            <w:tcW w:w="851" w:type="dxa"/>
            <w:vAlign w:val="center"/>
          </w:tcPr>
          <w:p>
            <w:pPr>
              <w:pStyle w:val="12"/>
            </w:pPr>
            <w:r>
              <w:t>43.80</w:t>
            </w:r>
          </w:p>
        </w:tc>
        <w:tc>
          <w:tcPr>
            <w:tcW w:w="1134" w:type="dxa"/>
            <w:vAlign w:val="center"/>
          </w:tcPr>
          <w:p>
            <w:pPr>
              <w:pStyle w:val="12"/>
            </w:pPr>
            <w:r>
              <w:t>43.80</w:t>
            </w:r>
          </w:p>
        </w:tc>
        <w:tc>
          <w:tcPr>
            <w:tcW w:w="1134" w:type="dxa"/>
            <w:vAlign w:val="center"/>
          </w:tcPr>
          <w:p>
            <w:pPr>
              <w:pStyle w:val="12"/>
            </w:pPr>
            <w:r>
              <w:t>43.80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54" w:type="dxa"/>
            <w:vAlign w:val="center"/>
          </w:tcPr>
          <w:p>
            <w:pPr>
              <w:pStyle w:val="13"/>
            </w:pPr>
            <w:r>
              <w:t>210</w:t>
            </w:r>
          </w:p>
        </w:tc>
        <w:tc>
          <w:tcPr>
            <w:tcW w:w="1680" w:type="dxa"/>
            <w:vAlign w:val="center"/>
          </w:tcPr>
          <w:p>
            <w:pPr>
              <w:pStyle w:val="13"/>
            </w:pPr>
            <w:r>
              <w:t>卫生健康支出</w:t>
            </w:r>
          </w:p>
        </w:tc>
        <w:tc>
          <w:tcPr>
            <w:tcW w:w="851" w:type="dxa"/>
            <w:vAlign w:val="center"/>
          </w:tcPr>
          <w:p>
            <w:pPr>
              <w:pStyle w:val="12"/>
            </w:pPr>
            <w:r>
              <w:t>20.50</w:t>
            </w:r>
          </w:p>
        </w:tc>
        <w:tc>
          <w:tcPr>
            <w:tcW w:w="1134" w:type="dxa"/>
            <w:vAlign w:val="center"/>
          </w:tcPr>
          <w:p>
            <w:pPr>
              <w:pStyle w:val="12"/>
            </w:pPr>
            <w:r>
              <w:t>20.50</w:t>
            </w:r>
          </w:p>
        </w:tc>
        <w:tc>
          <w:tcPr>
            <w:tcW w:w="1134" w:type="dxa"/>
            <w:vAlign w:val="center"/>
          </w:tcPr>
          <w:p>
            <w:pPr>
              <w:pStyle w:val="12"/>
            </w:pPr>
            <w:r>
              <w:t>20.50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54" w:type="dxa"/>
            <w:vAlign w:val="center"/>
          </w:tcPr>
          <w:p>
            <w:pPr>
              <w:pStyle w:val="13"/>
            </w:pPr>
            <w:r>
              <w:t>21011</w:t>
            </w:r>
          </w:p>
        </w:tc>
        <w:tc>
          <w:tcPr>
            <w:tcW w:w="1680" w:type="dxa"/>
            <w:vAlign w:val="center"/>
          </w:tcPr>
          <w:p>
            <w:pPr>
              <w:pStyle w:val="13"/>
            </w:pPr>
            <w:r>
              <w:t>行政事业单位医疗</w:t>
            </w:r>
          </w:p>
        </w:tc>
        <w:tc>
          <w:tcPr>
            <w:tcW w:w="851" w:type="dxa"/>
            <w:vAlign w:val="center"/>
          </w:tcPr>
          <w:p>
            <w:pPr>
              <w:pStyle w:val="12"/>
            </w:pPr>
            <w:r>
              <w:t>20.50</w:t>
            </w:r>
          </w:p>
        </w:tc>
        <w:tc>
          <w:tcPr>
            <w:tcW w:w="1134" w:type="dxa"/>
            <w:vAlign w:val="center"/>
          </w:tcPr>
          <w:p>
            <w:pPr>
              <w:pStyle w:val="12"/>
            </w:pPr>
            <w:r>
              <w:t>20.50</w:t>
            </w:r>
          </w:p>
        </w:tc>
        <w:tc>
          <w:tcPr>
            <w:tcW w:w="1134" w:type="dxa"/>
            <w:vAlign w:val="center"/>
          </w:tcPr>
          <w:p>
            <w:pPr>
              <w:pStyle w:val="12"/>
            </w:pPr>
            <w:r>
              <w:t>20.50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54" w:type="dxa"/>
            <w:vAlign w:val="center"/>
          </w:tcPr>
          <w:p>
            <w:pPr>
              <w:pStyle w:val="13"/>
            </w:pPr>
            <w:r>
              <w:t>2101101</w:t>
            </w:r>
          </w:p>
        </w:tc>
        <w:tc>
          <w:tcPr>
            <w:tcW w:w="1680" w:type="dxa"/>
            <w:vAlign w:val="center"/>
          </w:tcPr>
          <w:p>
            <w:pPr>
              <w:pStyle w:val="13"/>
            </w:pPr>
            <w:r>
              <w:t>行政单位医疗</w:t>
            </w:r>
          </w:p>
        </w:tc>
        <w:tc>
          <w:tcPr>
            <w:tcW w:w="851" w:type="dxa"/>
            <w:vAlign w:val="center"/>
          </w:tcPr>
          <w:p>
            <w:pPr>
              <w:pStyle w:val="12"/>
            </w:pPr>
            <w:r>
              <w:t>20.50</w:t>
            </w:r>
          </w:p>
        </w:tc>
        <w:tc>
          <w:tcPr>
            <w:tcW w:w="1134" w:type="dxa"/>
            <w:vAlign w:val="center"/>
          </w:tcPr>
          <w:p>
            <w:pPr>
              <w:pStyle w:val="12"/>
            </w:pPr>
            <w:r>
              <w:t>20.50</w:t>
            </w:r>
          </w:p>
        </w:tc>
        <w:tc>
          <w:tcPr>
            <w:tcW w:w="1134" w:type="dxa"/>
            <w:vAlign w:val="center"/>
          </w:tcPr>
          <w:p>
            <w:pPr>
              <w:pStyle w:val="12"/>
            </w:pPr>
            <w:r>
              <w:t>20.50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54" w:type="dxa"/>
            <w:vAlign w:val="center"/>
          </w:tcPr>
          <w:p>
            <w:pPr>
              <w:pStyle w:val="13"/>
            </w:pPr>
            <w:r>
              <w:t>221</w:t>
            </w:r>
          </w:p>
        </w:tc>
        <w:tc>
          <w:tcPr>
            <w:tcW w:w="1680" w:type="dxa"/>
            <w:vAlign w:val="center"/>
          </w:tcPr>
          <w:p>
            <w:pPr>
              <w:pStyle w:val="13"/>
            </w:pPr>
            <w:r>
              <w:t>住房保障支出</w:t>
            </w:r>
          </w:p>
        </w:tc>
        <w:tc>
          <w:tcPr>
            <w:tcW w:w="851" w:type="dxa"/>
            <w:vAlign w:val="center"/>
          </w:tcPr>
          <w:p>
            <w:pPr>
              <w:pStyle w:val="12"/>
            </w:pPr>
            <w:r>
              <w:t>35.72</w:t>
            </w:r>
          </w:p>
        </w:tc>
        <w:tc>
          <w:tcPr>
            <w:tcW w:w="1134" w:type="dxa"/>
            <w:vAlign w:val="center"/>
          </w:tcPr>
          <w:p>
            <w:pPr>
              <w:pStyle w:val="12"/>
            </w:pPr>
            <w:r>
              <w:t>35.72</w:t>
            </w:r>
          </w:p>
        </w:tc>
        <w:tc>
          <w:tcPr>
            <w:tcW w:w="1134" w:type="dxa"/>
            <w:vAlign w:val="center"/>
          </w:tcPr>
          <w:p>
            <w:pPr>
              <w:pStyle w:val="12"/>
            </w:pPr>
            <w:r>
              <w:t>35.72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54" w:type="dxa"/>
            <w:vAlign w:val="center"/>
          </w:tcPr>
          <w:p>
            <w:pPr>
              <w:pStyle w:val="13"/>
            </w:pPr>
            <w:r>
              <w:t>22102</w:t>
            </w:r>
          </w:p>
        </w:tc>
        <w:tc>
          <w:tcPr>
            <w:tcW w:w="1680" w:type="dxa"/>
            <w:vAlign w:val="center"/>
          </w:tcPr>
          <w:p>
            <w:pPr>
              <w:pStyle w:val="13"/>
            </w:pPr>
            <w:r>
              <w:t>住房改革支出</w:t>
            </w:r>
          </w:p>
        </w:tc>
        <w:tc>
          <w:tcPr>
            <w:tcW w:w="851" w:type="dxa"/>
            <w:vAlign w:val="center"/>
          </w:tcPr>
          <w:p>
            <w:pPr>
              <w:pStyle w:val="12"/>
            </w:pPr>
            <w:r>
              <w:t>35.72</w:t>
            </w:r>
          </w:p>
        </w:tc>
        <w:tc>
          <w:tcPr>
            <w:tcW w:w="1134" w:type="dxa"/>
            <w:vAlign w:val="center"/>
          </w:tcPr>
          <w:p>
            <w:pPr>
              <w:pStyle w:val="12"/>
            </w:pPr>
            <w:r>
              <w:t>35.72</w:t>
            </w:r>
          </w:p>
        </w:tc>
        <w:tc>
          <w:tcPr>
            <w:tcW w:w="1134" w:type="dxa"/>
            <w:vAlign w:val="center"/>
          </w:tcPr>
          <w:p>
            <w:pPr>
              <w:pStyle w:val="12"/>
            </w:pPr>
            <w:r>
              <w:t>35.72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54" w:type="dxa"/>
            <w:vAlign w:val="center"/>
          </w:tcPr>
          <w:p>
            <w:pPr>
              <w:pStyle w:val="13"/>
            </w:pPr>
            <w:r>
              <w:t>2210201</w:t>
            </w:r>
          </w:p>
        </w:tc>
        <w:tc>
          <w:tcPr>
            <w:tcW w:w="1680" w:type="dxa"/>
            <w:vAlign w:val="center"/>
          </w:tcPr>
          <w:p>
            <w:pPr>
              <w:pStyle w:val="13"/>
            </w:pPr>
            <w:r>
              <w:t>住房公积金</w:t>
            </w:r>
          </w:p>
        </w:tc>
        <w:tc>
          <w:tcPr>
            <w:tcW w:w="851" w:type="dxa"/>
            <w:vAlign w:val="center"/>
          </w:tcPr>
          <w:p>
            <w:pPr>
              <w:pStyle w:val="12"/>
            </w:pPr>
            <w:r>
              <w:t>35.72</w:t>
            </w:r>
          </w:p>
        </w:tc>
        <w:tc>
          <w:tcPr>
            <w:tcW w:w="1134" w:type="dxa"/>
            <w:vAlign w:val="center"/>
          </w:tcPr>
          <w:p>
            <w:pPr>
              <w:pStyle w:val="12"/>
            </w:pPr>
            <w:r>
              <w:t>35.72</w:t>
            </w:r>
          </w:p>
        </w:tc>
        <w:tc>
          <w:tcPr>
            <w:tcW w:w="1134" w:type="dxa"/>
            <w:vAlign w:val="center"/>
          </w:tcPr>
          <w:p>
            <w:pPr>
              <w:pStyle w:val="12"/>
            </w:pPr>
            <w:r>
              <w:t>35.72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54" w:type="dxa"/>
            <w:vAlign w:val="center"/>
          </w:tcPr>
          <w:p>
            <w:pPr>
              <w:pStyle w:val="13"/>
            </w:pPr>
            <w:r>
              <w:t>224</w:t>
            </w:r>
          </w:p>
        </w:tc>
        <w:tc>
          <w:tcPr>
            <w:tcW w:w="1680" w:type="dxa"/>
            <w:vAlign w:val="center"/>
          </w:tcPr>
          <w:p>
            <w:pPr>
              <w:pStyle w:val="13"/>
            </w:pPr>
            <w:r>
              <w:t>灾害防治及应急管理支出</w:t>
            </w:r>
          </w:p>
        </w:tc>
        <w:tc>
          <w:tcPr>
            <w:tcW w:w="851" w:type="dxa"/>
            <w:vAlign w:val="center"/>
          </w:tcPr>
          <w:p>
            <w:pPr>
              <w:pStyle w:val="12"/>
            </w:pPr>
            <w:r>
              <w:t>463.20</w:t>
            </w:r>
          </w:p>
        </w:tc>
        <w:tc>
          <w:tcPr>
            <w:tcW w:w="1134" w:type="dxa"/>
            <w:vAlign w:val="center"/>
          </w:tcPr>
          <w:p>
            <w:pPr>
              <w:pStyle w:val="12"/>
            </w:pPr>
            <w:r>
              <w:t>444.92</w:t>
            </w:r>
          </w:p>
        </w:tc>
        <w:tc>
          <w:tcPr>
            <w:tcW w:w="1134" w:type="dxa"/>
            <w:vAlign w:val="center"/>
          </w:tcPr>
          <w:p>
            <w:pPr>
              <w:pStyle w:val="12"/>
            </w:pPr>
            <w:r>
              <w:t>444.92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54" w:type="dxa"/>
            <w:vAlign w:val="center"/>
          </w:tcPr>
          <w:p>
            <w:pPr>
              <w:pStyle w:val="13"/>
            </w:pPr>
            <w:r>
              <w:t>22401</w:t>
            </w:r>
          </w:p>
        </w:tc>
        <w:tc>
          <w:tcPr>
            <w:tcW w:w="1680" w:type="dxa"/>
            <w:vAlign w:val="center"/>
          </w:tcPr>
          <w:p>
            <w:pPr>
              <w:pStyle w:val="13"/>
              <w:rPr>
                <w:sz w:val="18"/>
                <w:szCs w:val="18"/>
              </w:rPr>
            </w:pPr>
            <w:r>
              <w:rPr>
                <w:sz w:val="18"/>
                <w:szCs w:val="18"/>
              </w:rPr>
              <w:t>应急管理事务</w:t>
            </w:r>
          </w:p>
        </w:tc>
        <w:tc>
          <w:tcPr>
            <w:tcW w:w="851" w:type="dxa"/>
            <w:vAlign w:val="center"/>
          </w:tcPr>
          <w:p>
            <w:pPr>
              <w:pStyle w:val="12"/>
              <w:rPr>
                <w:sz w:val="18"/>
                <w:szCs w:val="18"/>
              </w:rPr>
            </w:pPr>
            <w:r>
              <w:rPr>
                <w:sz w:val="18"/>
                <w:szCs w:val="18"/>
              </w:rPr>
              <w:t>416.78</w:t>
            </w:r>
            <w:bookmarkStart w:id="20" w:name="_GoBack"/>
            <w:bookmarkEnd w:id="20"/>
          </w:p>
        </w:tc>
        <w:tc>
          <w:tcPr>
            <w:tcW w:w="1134" w:type="dxa"/>
            <w:vAlign w:val="center"/>
          </w:tcPr>
          <w:p>
            <w:pPr>
              <w:pStyle w:val="12"/>
            </w:pPr>
            <w:r>
              <w:t>398.51</w:t>
            </w:r>
          </w:p>
        </w:tc>
        <w:tc>
          <w:tcPr>
            <w:tcW w:w="1134" w:type="dxa"/>
            <w:vAlign w:val="center"/>
          </w:tcPr>
          <w:p>
            <w:pPr>
              <w:pStyle w:val="12"/>
            </w:pPr>
            <w:r>
              <w:t>398.51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54" w:type="dxa"/>
            <w:vAlign w:val="center"/>
          </w:tcPr>
          <w:p>
            <w:pPr>
              <w:pStyle w:val="13"/>
            </w:pPr>
            <w:r>
              <w:t>2240101</w:t>
            </w:r>
          </w:p>
        </w:tc>
        <w:tc>
          <w:tcPr>
            <w:tcW w:w="1680" w:type="dxa"/>
            <w:vAlign w:val="center"/>
          </w:tcPr>
          <w:p>
            <w:pPr>
              <w:pStyle w:val="13"/>
              <w:rPr>
                <w:sz w:val="18"/>
                <w:szCs w:val="18"/>
              </w:rPr>
            </w:pPr>
            <w:r>
              <w:rPr>
                <w:sz w:val="18"/>
                <w:szCs w:val="18"/>
              </w:rPr>
              <w:t>行政运行</w:t>
            </w:r>
          </w:p>
        </w:tc>
        <w:tc>
          <w:tcPr>
            <w:tcW w:w="851" w:type="dxa"/>
            <w:vAlign w:val="center"/>
          </w:tcPr>
          <w:p>
            <w:pPr>
              <w:pStyle w:val="12"/>
              <w:rPr>
                <w:sz w:val="18"/>
                <w:szCs w:val="18"/>
              </w:rPr>
            </w:pPr>
            <w:r>
              <w:rPr>
                <w:sz w:val="18"/>
                <w:szCs w:val="18"/>
              </w:rPr>
              <w:t>398.51</w:t>
            </w:r>
          </w:p>
        </w:tc>
        <w:tc>
          <w:tcPr>
            <w:tcW w:w="1134" w:type="dxa"/>
            <w:vAlign w:val="center"/>
          </w:tcPr>
          <w:p>
            <w:pPr>
              <w:pStyle w:val="12"/>
            </w:pPr>
            <w:r>
              <w:t>398.51</w:t>
            </w:r>
          </w:p>
        </w:tc>
        <w:tc>
          <w:tcPr>
            <w:tcW w:w="1134" w:type="dxa"/>
            <w:vAlign w:val="center"/>
          </w:tcPr>
          <w:p>
            <w:pPr>
              <w:pStyle w:val="12"/>
            </w:pPr>
            <w:r>
              <w:t>398.51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54" w:type="dxa"/>
            <w:vAlign w:val="center"/>
          </w:tcPr>
          <w:p>
            <w:pPr>
              <w:pStyle w:val="13"/>
            </w:pPr>
            <w:r>
              <w:t>2240108</w:t>
            </w:r>
          </w:p>
        </w:tc>
        <w:tc>
          <w:tcPr>
            <w:tcW w:w="1680" w:type="dxa"/>
            <w:vAlign w:val="center"/>
          </w:tcPr>
          <w:p>
            <w:pPr>
              <w:pStyle w:val="13"/>
              <w:rPr>
                <w:sz w:val="18"/>
                <w:szCs w:val="18"/>
              </w:rPr>
            </w:pPr>
            <w:r>
              <w:rPr>
                <w:sz w:val="18"/>
                <w:szCs w:val="18"/>
              </w:rPr>
              <w:t>应急救援</w:t>
            </w:r>
          </w:p>
        </w:tc>
        <w:tc>
          <w:tcPr>
            <w:tcW w:w="851" w:type="dxa"/>
            <w:vAlign w:val="center"/>
          </w:tcPr>
          <w:p>
            <w:pPr>
              <w:pStyle w:val="12"/>
              <w:rPr>
                <w:sz w:val="18"/>
                <w:szCs w:val="18"/>
              </w:rPr>
            </w:pPr>
            <w:r>
              <w:rPr>
                <w:sz w:val="18"/>
                <w:szCs w:val="18"/>
              </w:rPr>
              <w:t>18.27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54" w:type="dxa"/>
            <w:vAlign w:val="center"/>
          </w:tcPr>
          <w:p>
            <w:pPr>
              <w:pStyle w:val="13"/>
            </w:pPr>
            <w:r>
              <w:t>22405</w:t>
            </w:r>
          </w:p>
        </w:tc>
        <w:tc>
          <w:tcPr>
            <w:tcW w:w="1680" w:type="dxa"/>
            <w:vAlign w:val="center"/>
          </w:tcPr>
          <w:p>
            <w:pPr>
              <w:pStyle w:val="13"/>
              <w:rPr>
                <w:sz w:val="18"/>
                <w:szCs w:val="18"/>
              </w:rPr>
            </w:pPr>
            <w:r>
              <w:rPr>
                <w:sz w:val="18"/>
                <w:szCs w:val="18"/>
              </w:rPr>
              <w:t>地震事务</w:t>
            </w:r>
          </w:p>
        </w:tc>
        <w:tc>
          <w:tcPr>
            <w:tcW w:w="851" w:type="dxa"/>
            <w:vAlign w:val="center"/>
          </w:tcPr>
          <w:p>
            <w:pPr>
              <w:pStyle w:val="12"/>
              <w:rPr>
                <w:sz w:val="18"/>
                <w:szCs w:val="18"/>
              </w:rPr>
            </w:pPr>
            <w:r>
              <w:rPr>
                <w:sz w:val="18"/>
                <w:szCs w:val="18"/>
              </w:rP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54" w:type="dxa"/>
            <w:vAlign w:val="center"/>
          </w:tcPr>
          <w:p>
            <w:pPr>
              <w:pStyle w:val="13"/>
            </w:pPr>
            <w:r>
              <w:t>2240505</w:t>
            </w:r>
          </w:p>
        </w:tc>
        <w:tc>
          <w:tcPr>
            <w:tcW w:w="1680" w:type="dxa"/>
            <w:vAlign w:val="center"/>
          </w:tcPr>
          <w:p>
            <w:pPr>
              <w:pStyle w:val="13"/>
              <w:rPr>
                <w:sz w:val="18"/>
                <w:szCs w:val="18"/>
              </w:rPr>
            </w:pPr>
            <w:r>
              <w:rPr>
                <w:sz w:val="18"/>
                <w:szCs w:val="18"/>
              </w:rPr>
              <w:t>地震预测预报</w:t>
            </w:r>
          </w:p>
        </w:tc>
        <w:tc>
          <w:tcPr>
            <w:tcW w:w="851" w:type="dxa"/>
            <w:vAlign w:val="center"/>
          </w:tcPr>
          <w:p>
            <w:pPr>
              <w:pStyle w:val="12"/>
              <w:rPr>
                <w:sz w:val="18"/>
                <w:szCs w:val="18"/>
              </w:rPr>
            </w:pPr>
            <w:r>
              <w:rPr>
                <w:sz w:val="18"/>
                <w:szCs w:val="18"/>
              </w:rP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54" w:type="dxa"/>
            <w:vAlign w:val="center"/>
          </w:tcPr>
          <w:p>
            <w:pPr>
              <w:pStyle w:val="13"/>
            </w:pPr>
            <w:r>
              <w:t>22407</w:t>
            </w:r>
          </w:p>
        </w:tc>
        <w:tc>
          <w:tcPr>
            <w:tcW w:w="1680" w:type="dxa"/>
            <w:vAlign w:val="center"/>
          </w:tcPr>
          <w:p>
            <w:pPr>
              <w:pStyle w:val="13"/>
              <w:rPr>
                <w:sz w:val="18"/>
                <w:szCs w:val="18"/>
              </w:rPr>
            </w:pPr>
            <w:r>
              <w:rPr>
                <w:sz w:val="18"/>
                <w:szCs w:val="18"/>
              </w:rPr>
              <w:t>自然灾害救灾及恢复重建支出</w:t>
            </w:r>
          </w:p>
        </w:tc>
        <w:tc>
          <w:tcPr>
            <w:tcW w:w="851" w:type="dxa"/>
            <w:vAlign w:val="center"/>
          </w:tcPr>
          <w:p>
            <w:pPr>
              <w:pStyle w:val="12"/>
              <w:rPr>
                <w:sz w:val="18"/>
                <w:szCs w:val="18"/>
              </w:rPr>
            </w:pPr>
            <w:r>
              <w:rPr>
                <w:sz w:val="18"/>
                <w:szCs w:val="18"/>
              </w:rPr>
              <w:t>44.92</w:t>
            </w:r>
          </w:p>
        </w:tc>
        <w:tc>
          <w:tcPr>
            <w:tcW w:w="1134" w:type="dxa"/>
            <w:vAlign w:val="center"/>
          </w:tcPr>
          <w:p>
            <w:pPr>
              <w:pStyle w:val="12"/>
            </w:pPr>
            <w:r>
              <w:t>44.91</w:t>
            </w:r>
          </w:p>
        </w:tc>
        <w:tc>
          <w:tcPr>
            <w:tcW w:w="1134" w:type="dxa"/>
            <w:vAlign w:val="center"/>
          </w:tcPr>
          <w:p>
            <w:pPr>
              <w:pStyle w:val="12"/>
            </w:pPr>
            <w:r>
              <w:t>44.91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54" w:type="dxa"/>
            <w:vAlign w:val="center"/>
          </w:tcPr>
          <w:p>
            <w:pPr>
              <w:pStyle w:val="13"/>
            </w:pPr>
            <w:r>
              <w:t>2240703</w:t>
            </w:r>
          </w:p>
        </w:tc>
        <w:tc>
          <w:tcPr>
            <w:tcW w:w="1680" w:type="dxa"/>
            <w:vAlign w:val="center"/>
          </w:tcPr>
          <w:p>
            <w:pPr>
              <w:pStyle w:val="13"/>
              <w:rPr>
                <w:sz w:val="18"/>
                <w:szCs w:val="18"/>
              </w:rPr>
            </w:pPr>
            <w:r>
              <w:rPr>
                <w:sz w:val="18"/>
                <w:szCs w:val="18"/>
              </w:rPr>
              <w:t>自然灾害救灾补助</w:t>
            </w:r>
          </w:p>
        </w:tc>
        <w:tc>
          <w:tcPr>
            <w:tcW w:w="851" w:type="dxa"/>
            <w:vAlign w:val="center"/>
          </w:tcPr>
          <w:p>
            <w:pPr>
              <w:pStyle w:val="12"/>
              <w:rPr>
                <w:sz w:val="18"/>
                <w:szCs w:val="18"/>
              </w:rPr>
            </w:pPr>
            <w:r>
              <w:rPr>
                <w:sz w:val="18"/>
                <w:szCs w:val="18"/>
              </w:rPr>
              <w:t>44.92</w:t>
            </w:r>
          </w:p>
        </w:tc>
        <w:tc>
          <w:tcPr>
            <w:tcW w:w="1134" w:type="dxa"/>
            <w:vAlign w:val="center"/>
          </w:tcPr>
          <w:p>
            <w:pPr>
              <w:pStyle w:val="12"/>
            </w:pPr>
            <w:r>
              <w:t>44.91</w:t>
            </w:r>
          </w:p>
        </w:tc>
        <w:tc>
          <w:tcPr>
            <w:tcW w:w="1134" w:type="dxa"/>
            <w:vAlign w:val="center"/>
          </w:tcPr>
          <w:p>
            <w:pPr>
              <w:pStyle w:val="12"/>
            </w:pPr>
            <w:r>
              <w:t>44.91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65"/>
        <w:gridCol w:w="4362"/>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65" w:type="dxa"/>
            <w:vAlign w:val="center"/>
          </w:tcPr>
          <w:p>
            <w:pPr>
              <w:pStyle w:val="11"/>
            </w:pPr>
            <w:r>
              <w:t>科目    编码</w:t>
            </w:r>
          </w:p>
        </w:tc>
        <w:tc>
          <w:tcPr>
            <w:tcW w:w="4362"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65" w:type="dxa"/>
            <w:vAlign w:val="center"/>
          </w:tcPr>
          <w:p>
            <w:pPr>
              <w:pStyle w:val="11"/>
            </w:pPr>
            <w:r>
              <w:t>1</w:t>
            </w:r>
          </w:p>
        </w:tc>
        <w:tc>
          <w:tcPr>
            <w:tcW w:w="4362"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65" w:type="dxa"/>
            <w:vAlign w:val="center"/>
          </w:tcPr>
          <w:p>
            <w:pPr>
              <w:pStyle w:val="17"/>
            </w:pPr>
          </w:p>
        </w:tc>
        <w:tc>
          <w:tcPr>
            <w:tcW w:w="4362" w:type="dxa"/>
            <w:vAlign w:val="center"/>
          </w:tcPr>
          <w:p>
            <w:pPr>
              <w:pStyle w:val="15"/>
            </w:pPr>
            <w:r>
              <w:t>合计</w:t>
            </w:r>
          </w:p>
        </w:tc>
        <w:tc>
          <w:tcPr>
            <w:tcW w:w="1361" w:type="dxa"/>
            <w:vAlign w:val="center"/>
          </w:tcPr>
          <w:p>
            <w:pPr>
              <w:pStyle w:val="16"/>
            </w:pPr>
            <w:r>
              <w:t>563.22</w:t>
            </w:r>
          </w:p>
        </w:tc>
        <w:tc>
          <w:tcPr>
            <w:tcW w:w="1361" w:type="dxa"/>
            <w:vAlign w:val="center"/>
          </w:tcPr>
          <w:p>
            <w:pPr>
              <w:pStyle w:val="16"/>
            </w:pPr>
            <w:r>
              <w:t>498.53</w:t>
            </w:r>
          </w:p>
        </w:tc>
        <w:tc>
          <w:tcPr>
            <w:tcW w:w="1361" w:type="dxa"/>
            <w:vAlign w:val="center"/>
          </w:tcPr>
          <w:p>
            <w:pPr>
              <w:pStyle w:val="16"/>
            </w:pPr>
            <w:r>
              <w:t>64.69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65" w:type="dxa"/>
            <w:vAlign w:val="center"/>
          </w:tcPr>
          <w:p>
            <w:pPr>
              <w:pStyle w:val="13"/>
            </w:pPr>
            <w:r>
              <w:t>208</w:t>
            </w:r>
          </w:p>
        </w:tc>
        <w:tc>
          <w:tcPr>
            <w:tcW w:w="4362" w:type="dxa"/>
            <w:vAlign w:val="center"/>
          </w:tcPr>
          <w:p>
            <w:pPr>
              <w:pStyle w:val="13"/>
            </w:pPr>
            <w:r>
              <w:t>社会保障和就业支出</w:t>
            </w:r>
          </w:p>
        </w:tc>
        <w:tc>
          <w:tcPr>
            <w:tcW w:w="1361" w:type="dxa"/>
            <w:vAlign w:val="center"/>
          </w:tcPr>
          <w:p>
            <w:pPr>
              <w:pStyle w:val="12"/>
            </w:pPr>
            <w:r>
              <w:t>43.80</w:t>
            </w:r>
          </w:p>
        </w:tc>
        <w:tc>
          <w:tcPr>
            <w:tcW w:w="1361" w:type="dxa"/>
            <w:vAlign w:val="center"/>
          </w:tcPr>
          <w:p>
            <w:pPr>
              <w:pStyle w:val="12"/>
            </w:pPr>
            <w:r>
              <w:t>43.80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65" w:type="dxa"/>
            <w:vAlign w:val="center"/>
          </w:tcPr>
          <w:p>
            <w:pPr>
              <w:pStyle w:val="13"/>
            </w:pPr>
            <w:r>
              <w:t>20805</w:t>
            </w:r>
          </w:p>
        </w:tc>
        <w:tc>
          <w:tcPr>
            <w:tcW w:w="4362" w:type="dxa"/>
            <w:vAlign w:val="center"/>
          </w:tcPr>
          <w:p>
            <w:pPr>
              <w:pStyle w:val="13"/>
            </w:pPr>
            <w:r>
              <w:t>行政事业单位养老支出</w:t>
            </w:r>
          </w:p>
        </w:tc>
        <w:tc>
          <w:tcPr>
            <w:tcW w:w="1361" w:type="dxa"/>
            <w:vAlign w:val="center"/>
          </w:tcPr>
          <w:p>
            <w:pPr>
              <w:pStyle w:val="12"/>
            </w:pPr>
            <w:r>
              <w:t>43.80</w:t>
            </w:r>
          </w:p>
        </w:tc>
        <w:tc>
          <w:tcPr>
            <w:tcW w:w="1361" w:type="dxa"/>
            <w:vAlign w:val="center"/>
          </w:tcPr>
          <w:p>
            <w:pPr>
              <w:pStyle w:val="12"/>
            </w:pPr>
            <w:r>
              <w:t>43.80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65" w:type="dxa"/>
            <w:vAlign w:val="center"/>
          </w:tcPr>
          <w:p>
            <w:pPr>
              <w:pStyle w:val="13"/>
            </w:pPr>
            <w:r>
              <w:t>2080505</w:t>
            </w:r>
          </w:p>
        </w:tc>
        <w:tc>
          <w:tcPr>
            <w:tcW w:w="4362" w:type="dxa"/>
            <w:vAlign w:val="center"/>
          </w:tcPr>
          <w:p>
            <w:pPr>
              <w:pStyle w:val="13"/>
            </w:pPr>
            <w:r>
              <w:t>机关事业单位基本养老保险缴费支出</w:t>
            </w:r>
          </w:p>
        </w:tc>
        <w:tc>
          <w:tcPr>
            <w:tcW w:w="1361" w:type="dxa"/>
            <w:vAlign w:val="center"/>
          </w:tcPr>
          <w:p>
            <w:pPr>
              <w:pStyle w:val="12"/>
            </w:pPr>
            <w:r>
              <w:t>43.80</w:t>
            </w:r>
          </w:p>
        </w:tc>
        <w:tc>
          <w:tcPr>
            <w:tcW w:w="1361" w:type="dxa"/>
            <w:vAlign w:val="center"/>
          </w:tcPr>
          <w:p>
            <w:pPr>
              <w:pStyle w:val="12"/>
            </w:pPr>
            <w:r>
              <w:t>43.80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65" w:type="dxa"/>
            <w:vAlign w:val="center"/>
          </w:tcPr>
          <w:p>
            <w:pPr>
              <w:pStyle w:val="13"/>
            </w:pPr>
            <w:r>
              <w:t>210</w:t>
            </w:r>
          </w:p>
        </w:tc>
        <w:tc>
          <w:tcPr>
            <w:tcW w:w="4362" w:type="dxa"/>
            <w:vAlign w:val="center"/>
          </w:tcPr>
          <w:p>
            <w:pPr>
              <w:pStyle w:val="13"/>
            </w:pPr>
            <w:r>
              <w:t>卫生健康支出</w:t>
            </w:r>
          </w:p>
        </w:tc>
        <w:tc>
          <w:tcPr>
            <w:tcW w:w="1361" w:type="dxa"/>
            <w:vAlign w:val="center"/>
          </w:tcPr>
          <w:p>
            <w:pPr>
              <w:pStyle w:val="12"/>
            </w:pPr>
            <w:r>
              <w:t>20.50</w:t>
            </w:r>
          </w:p>
        </w:tc>
        <w:tc>
          <w:tcPr>
            <w:tcW w:w="1361" w:type="dxa"/>
            <w:vAlign w:val="center"/>
          </w:tcPr>
          <w:p>
            <w:pPr>
              <w:pStyle w:val="12"/>
            </w:pPr>
            <w:r>
              <w:t>20.50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65" w:type="dxa"/>
            <w:vAlign w:val="center"/>
          </w:tcPr>
          <w:p>
            <w:pPr>
              <w:pStyle w:val="13"/>
            </w:pPr>
            <w:r>
              <w:t>21011</w:t>
            </w:r>
          </w:p>
        </w:tc>
        <w:tc>
          <w:tcPr>
            <w:tcW w:w="4362" w:type="dxa"/>
            <w:vAlign w:val="center"/>
          </w:tcPr>
          <w:p>
            <w:pPr>
              <w:pStyle w:val="13"/>
            </w:pPr>
            <w:r>
              <w:t>行政事业单位医疗</w:t>
            </w:r>
          </w:p>
        </w:tc>
        <w:tc>
          <w:tcPr>
            <w:tcW w:w="1361" w:type="dxa"/>
            <w:vAlign w:val="center"/>
          </w:tcPr>
          <w:p>
            <w:pPr>
              <w:pStyle w:val="12"/>
            </w:pPr>
            <w:r>
              <w:t>20.50</w:t>
            </w:r>
          </w:p>
        </w:tc>
        <w:tc>
          <w:tcPr>
            <w:tcW w:w="1361" w:type="dxa"/>
            <w:vAlign w:val="center"/>
          </w:tcPr>
          <w:p>
            <w:pPr>
              <w:pStyle w:val="12"/>
            </w:pPr>
            <w:r>
              <w:t>20.50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65" w:type="dxa"/>
            <w:vAlign w:val="center"/>
          </w:tcPr>
          <w:p>
            <w:pPr>
              <w:pStyle w:val="13"/>
            </w:pPr>
            <w:r>
              <w:t>2101101</w:t>
            </w:r>
          </w:p>
        </w:tc>
        <w:tc>
          <w:tcPr>
            <w:tcW w:w="4362" w:type="dxa"/>
            <w:vAlign w:val="center"/>
          </w:tcPr>
          <w:p>
            <w:pPr>
              <w:pStyle w:val="13"/>
            </w:pPr>
            <w:r>
              <w:t>行政单位医疗</w:t>
            </w:r>
          </w:p>
        </w:tc>
        <w:tc>
          <w:tcPr>
            <w:tcW w:w="1361" w:type="dxa"/>
            <w:vAlign w:val="center"/>
          </w:tcPr>
          <w:p>
            <w:pPr>
              <w:pStyle w:val="12"/>
            </w:pPr>
            <w:r>
              <w:t>20.50</w:t>
            </w:r>
          </w:p>
        </w:tc>
        <w:tc>
          <w:tcPr>
            <w:tcW w:w="1361" w:type="dxa"/>
            <w:vAlign w:val="center"/>
          </w:tcPr>
          <w:p>
            <w:pPr>
              <w:pStyle w:val="12"/>
            </w:pPr>
            <w:r>
              <w:t>20.50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65" w:type="dxa"/>
            <w:vAlign w:val="center"/>
          </w:tcPr>
          <w:p>
            <w:pPr>
              <w:pStyle w:val="13"/>
            </w:pPr>
            <w:r>
              <w:t>221</w:t>
            </w:r>
          </w:p>
        </w:tc>
        <w:tc>
          <w:tcPr>
            <w:tcW w:w="4362" w:type="dxa"/>
            <w:vAlign w:val="center"/>
          </w:tcPr>
          <w:p>
            <w:pPr>
              <w:pStyle w:val="13"/>
            </w:pPr>
            <w:r>
              <w:t>住房保障支出</w:t>
            </w:r>
          </w:p>
        </w:tc>
        <w:tc>
          <w:tcPr>
            <w:tcW w:w="1361" w:type="dxa"/>
            <w:vAlign w:val="center"/>
          </w:tcPr>
          <w:p>
            <w:pPr>
              <w:pStyle w:val="12"/>
            </w:pPr>
            <w:r>
              <w:t>35.72</w:t>
            </w:r>
          </w:p>
        </w:tc>
        <w:tc>
          <w:tcPr>
            <w:tcW w:w="1361" w:type="dxa"/>
            <w:vAlign w:val="center"/>
          </w:tcPr>
          <w:p>
            <w:pPr>
              <w:pStyle w:val="12"/>
            </w:pPr>
            <w:r>
              <w:t>35.72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65" w:type="dxa"/>
            <w:vAlign w:val="center"/>
          </w:tcPr>
          <w:p>
            <w:pPr>
              <w:pStyle w:val="13"/>
            </w:pPr>
            <w:r>
              <w:t>22102</w:t>
            </w:r>
          </w:p>
        </w:tc>
        <w:tc>
          <w:tcPr>
            <w:tcW w:w="4362" w:type="dxa"/>
            <w:vAlign w:val="center"/>
          </w:tcPr>
          <w:p>
            <w:pPr>
              <w:pStyle w:val="13"/>
            </w:pPr>
            <w:r>
              <w:t>住房改革支出</w:t>
            </w:r>
          </w:p>
        </w:tc>
        <w:tc>
          <w:tcPr>
            <w:tcW w:w="1361" w:type="dxa"/>
            <w:vAlign w:val="center"/>
          </w:tcPr>
          <w:p>
            <w:pPr>
              <w:pStyle w:val="12"/>
            </w:pPr>
            <w:r>
              <w:t>35.72</w:t>
            </w:r>
          </w:p>
        </w:tc>
        <w:tc>
          <w:tcPr>
            <w:tcW w:w="1361" w:type="dxa"/>
            <w:vAlign w:val="center"/>
          </w:tcPr>
          <w:p>
            <w:pPr>
              <w:pStyle w:val="12"/>
            </w:pPr>
            <w:r>
              <w:t>35.72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65" w:type="dxa"/>
            <w:vAlign w:val="center"/>
          </w:tcPr>
          <w:p>
            <w:pPr>
              <w:pStyle w:val="13"/>
            </w:pPr>
            <w:r>
              <w:t>2210201</w:t>
            </w:r>
          </w:p>
        </w:tc>
        <w:tc>
          <w:tcPr>
            <w:tcW w:w="4362" w:type="dxa"/>
            <w:vAlign w:val="center"/>
          </w:tcPr>
          <w:p>
            <w:pPr>
              <w:pStyle w:val="13"/>
            </w:pPr>
            <w:r>
              <w:t>住房公积金</w:t>
            </w:r>
          </w:p>
        </w:tc>
        <w:tc>
          <w:tcPr>
            <w:tcW w:w="1361" w:type="dxa"/>
            <w:vAlign w:val="center"/>
          </w:tcPr>
          <w:p>
            <w:pPr>
              <w:pStyle w:val="12"/>
            </w:pPr>
            <w:r>
              <w:t>35.72</w:t>
            </w:r>
          </w:p>
        </w:tc>
        <w:tc>
          <w:tcPr>
            <w:tcW w:w="1361" w:type="dxa"/>
            <w:vAlign w:val="center"/>
          </w:tcPr>
          <w:p>
            <w:pPr>
              <w:pStyle w:val="12"/>
            </w:pPr>
            <w:r>
              <w:t>35.72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65" w:type="dxa"/>
            <w:vAlign w:val="center"/>
          </w:tcPr>
          <w:p>
            <w:pPr>
              <w:pStyle w:val="13"/>
            </w:pPr>
            <w:r>
              <w:t>224</w:t>
            </w:r>
          </w:p>
        </w:tc>
        <w:tc>
          <w:tcPr>
            <w:tcW w:w="4362" w:type="dxa"/>
            <w:vAlign w:val="center"/>
          </w:tcPr>
          <w:p>
            <w:pPr>
              <w:pStyle w:val="13"/>
            </w:pPr>
            <w:r>
              <w:t>灾害防治及应急管理支出</w:t>
            </w:r>
          </w:p>
        </w:tc>
        <w:tc>
          <w:tcPr>
            <w:tcW w:w="1361" w:type="dxa"/>
            <w:vAlign w:val="center"/>
          </w:tcPr>
          <w:p>
            <w:pPr>
              <w:pStyle w:val="12"/>
            </w:pPr>
            <w:r>
              <w:t>463.20</w:t>
            </w:r>
          </w:p>
        </w:tc>
        <w:tc>
          <w:tcPr>
            <w:tcW w:w="1361" w:type="dxa"/>
            <w:vAlign w:val="center"/>
          </w:tcPr>
          <w:p>
            <w:pPr>
              <w:pStyle w:val="12"/>
            </w:pPr>
            <w:r>
              <w:t>398.51</w:t>
            </w:r>
          </w:p>
        </w:tc>
        <w:tc>
          <w:tcPr>
            <w:tcW w:w="1361" w:type="dxa"/>
            <w:vAlign w:val="center"/>
          </w:tcPr>
          <w:p>
            <w:pPr>
              <w:pStyle w:val="12"/>
            </w:pPr>
            <w:r>
              <w:t>64.69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65" w:type="dxa"/>
            <w:vAlign w:val="center"/>
          </w:tcPr>
          <w:p>
            <w:pPr>
              <w:pStyle w:val="13"/>
            </w:pPr>
            <w:r>
              <w:t>22401</w:t>
            </w:r>
          </w:p>
        </w:tc>
        <w:tc>
          <w:tcPr>
            <w:tcW w:w="4362" w:type="dxa"/>
            <w:vAlign w:val="center"/>
          </w:tcPr>
          <w:p>
            <w:pPr>
              <w:pStyle w:val="13"/>
            </w:pPr>
            <w:r>
              <w:t>应急管理事务</w:t>
            </w:r>
          </w:p>
        </w:tc>
        <w:tc>
          <w:tcPr>
            <w:tcW w:w="1361" w:type="dxa"/>
            <w:vAlign w:val="center"/>
          </w:tcPr>
          <w:p>
            <w:pPr>
              <w:pStyle w:val="12"/>
            </w:pPr>
            <w:r>
              <w:t>416.78</w:t>
            </w:r>
          </w:p>
        </w:tc>
        <w:tc>
          <w:tcPr>
            <w:tcW w:w="1361" w:type="dxa"/>
            <w:vAlign w:val="center"/>
          </w:tcPr>
          <w:p>
            <w:pPr>
              <w:pStyle w:val="12"/>
            </w:pPr>
            <w:r>
              <w:t>398.51</w:t>
            </w:r>
          </w:p>
        </w:tc>
        <w:tc>
          <w:tcPr>
            <w:tcW w:w="1361" w:type="dxa"/>
            <w:vAlign w:val="center"/>
          </w:tcPr>
          <w:p>
            <w:pPr>
              <w:pStyle w:val="12"/>
            </w:pPr>
            <w:r>
              <w:t>18.27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65" w:type="dxa"/>
            <w:vAlign w:val="center"/>
          </w:tcPr>
          <w:p>
            <w:pPr>
              <w:pStyle w:val="13"/>
            </w:pPr>
            <w:r>
              <w:t>2240101</w:t>
            </w:r>
          </w:p>
        </w:tc>
        <w:tc>
          <w:tcPr>
            <w:tcW w:w="4362" w:type="dxa"/>
            <w:vAlign w:val="center"/>
          </w:tcPr>
          <w:p>
            <w:pPr>
              <w:pStyle w:val="13"/>
            </w:pPr>
            <w:r>
              <w:t>行政运行</w:t>
            </w:r>
          </w:p>
        </w:tc>
        <w:tc>
          <w:tcPr>
            <w:tcW w:w="1361" w:type="dxa"/>
            <w:vAlign w:val="center"/>
          </w:tcPr>
          <w:p>
            <w:pPr>
              <w:pStyle w:val="12"/>
            </w:pPr>
            <w:r>
              <w:t>398.51</w:t>
            </w:r>
          </w:p>
        </w:tc>
        <w:tc>
          <w:tcPr>
            <w:tcW w:w="1361" w:type="dxa"/>
            <w:vAlign w:val="center"/>
          </w:tcPr>
          <w:p>
            <w:pPr>
              <w:pStyle w:val="12"/>
            </w:pPr>
            <w:r>
              <w:t>398.51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65" w:type="dxa"/>
            <w:vAlign w:val="center"/>
          </w:tcPr>
          <w:p>
            <w:pPr>
              <w:pStyle w:val="13"/>
            </w:pPr>
            <w:r>
              <w:t>2240108</w:t>
            </w:r>
          </w:p>
        </w:tc>
        <w:tc>
          <w:tcPr>
            <w:tcW w:w="4362" w:type="dxa"/>
            <w:vAlign w:val="center"/>
          </w:tcPr>
          <w:p>
            <w:pPr>
              <w:pStyle w:val="13"/>
            </w:pPr>
            <w:r>
              <w:t>应急救援</w:t>
            </w:r>
          </w:p>
        </w:tc>
        <w:tc>
          <w:tcPr>
            <w:tcW w:w="1361" w:type="dxa"/>
            <w:vAlign w:val="center"/>
          </w:tcPr>
          <w:p>
            <w:pPr>
              <w:pStyle w:val="12"/>
            </w:pPr>
            <w:r>
              <w:t>18.27</w:t>
            </w:r>
          </w:p>
        </w:tc>
        <w:tc>
          <w:tcPr>
            <w:tcW w:w="1361" w:type="dxa"/>
            <w:vAlign w:val="center"/>
          </w:tcPr>
          <w:p>
            <w:pPr>
              <w:pStyle w:val="12"/>
            </w:pPr>
          </w:p>
        </w:tc>
        <w:tc>
          <w:tcPr>
            <w:tcW w:w="1361" w:type="dxa"/>
            <w:vAlign w:val="center"/>
          </w:tcPr>
          <w:p>
            <w:pPr>
              <w:pStyle w:val="12"/>
            </w:pPr>
            <w:r>
              <w:t>18.27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65" w:type="dxa"/>
            <w:vAlign w:val="center"/>
          </w:tcPr>
          <w:p>
            <w:pPr>
              <w:pStyle w:val="13"/>
            </w:pPr>
            <w:r>
              <w:t>22405</w:t>
            </w:r>
          </w:p>
        </w:tc>
        <w:tc>
          <w:tcPr>
            <w:tcW w:w="4362" w:type="dxa"/>
            <w:vAlign w:val="center"/>
          </w:tcPr>
          <w:p>
            <w:pPr>
              <w:pStyle w:val="13"/>
            </w:pPr>
            <w:r>
              <w:t>地震事务</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65" w:type="dxa"/>
            <w:vAlign w:val="center"/>
          </w:tcPr>
          <w:p>
            <w:pPr>
              <w:pStyle w:val="13"/>
            </w:pPr>
            <w:r>
              <w:t>2240505</w:t>
            </w:r>
          </w:p>
        </w:tc>
        <w:tc>
          <w:tcPr>
            <w:tcW w:w="4362" w:type="dxa"/>
            <w:vAlign w:val="center"/>
          </w:tcPr>
          <w:p>
            <w:pPr>
              <w:pStyle w:val="13"/>
            </w:pPr>
            <w:r>
              <w:t>地震预测预报</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65" w:type="dxa"/>
            <w:vAlign w:val="center"/>
          </w:tcPr>
          <w:p>
            <w:pPr>
              <w:pStyle w:val="13"/>
            </w:pPr>
            <w:r>
              <w:t>22407</w:t>
            </w:r>
          </w:p>
        </w:tc>
        <w:tc>
          <w:tcPr>
            <w:tcW w:w="4362" w:type="dxa"/>
            <w:vAlign w:val="center"/>
          </w:tcPr>
          <w:p>
            <w:pPr>
              <w:pStyle w:val="13"/>
            </w:pPr>
            <w:r>
              <w:t>自然灾害救灾及恢复重建支出</w:t>
            </w:r>
          </w:p>
        </w:tc>
        <w:tc>
          <w:tcPr>
            <w:tcW w:w="1361" w:type="dxa"/>
            <w:vAlign w:val="center"/>
          </w:tcPr>
          <w:p>
            <w:pPr>
              <w:pStyle w:val="12"/>
            </w:pPr>
            <w:r>
              <w:t>44.92</w:t>
            </w:r>
          </w:p>
        </w:tc>
        <w:tc>
          <w:tcPr>
            <w:tcW w:w="1361" w:type="dxa"/>
            <w:vAlign w:val="center"/>
          </w:tcPr>
          <w:p>
            <w:pPr>
              <w:pStyle w:val="12"/>
            </w:pPr>
          </w:p>
        </w:tc>
        <w:tc>
          <w:tcPr>
            <w:tcW w:w="1361" w:type="dxa"/>
            <w:vAlign w:val="center"/>
          </w:tcPr>
          <w:p>
            <w:pPr>
              <w:pStyle w:val="12"/>
            </w:pPr>
            <w:r>
              <w:t>44.92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65" w:type="dxa"/>
            <w:vAlign w:val="center"/>
          </w:tcPr>
          <w:p>
            <w:pPr>
              <w:pStyle w:val="13"/>
            </w:pPr>
            <w:r>
              <w:t>2240703</w:t>
            </w:r>
          </w:p>
        </w:tc>
        <w:tc>
          <w:tcPr>
            <w:tcW w:w="4362" w:type="dxa"/>
            <w:vAlign w:val="center"/>
          </w:tcPr>
          <w:p>
            <w:pPr>
              <w:pStyle w:val="13"/>
            </w:pPr>
            <w:r>
              <w:t>自然灾害救灾补助</w:t>
            </w:r>
          </w:p>
        </w:tc>
        <w:tc>
          <w:tcPr>
            <w:tcW w:w="1361" w:type="dxa"/>
            <w:vAlign w:val="center"/>
          </w:tcPr>
          <w:p>
            <w:pPr>
              <w:pStyle w:val="12"/>
            </w:pPr>
            <w:r>
              <w:t>44.92</w:t>
            </w:r>
          </w:p>
        </w:tc>
        <w:tc>
          <w:tcPr>
            <w:tcW w:w="1361" w:type="dxa"/>
            <w:vAlign w:val="center"/>
          </w:tcPr>
          <w:p>
            <w:pPr>
              <w:pStyle w:val="12"/>
            </w:pPr>
          </w:p>
        </w:tc>
        <w:tc>
          <w:tcPr>
            <w:tcW w:w="1361" w:type="dxa"/>
            <w:vAlign w:val="center"/>
          </w:tcPr>
          <w:p>
            <w:pPr>
              <w:pStyle w:val="12"/>
            </w:pPr>
            <w:r>
              <w:t>44.92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544.94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43.80</w:t>
            </w:r>
          </w:p>
        </w:tc>
        <w:tc>
          <w:tcPr>
            <w:tcW w:w="1474" w:type="dxa"/>
            <w:vAlign w:val="center"/>
          </w:tcPr>
          <w:p>
            <w:pPr>
              <w:pStyle w:val="12"/>
            </w:pPr>
            <w:r>
              <w:t>43.80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20.50</w:t>
            </w:r>
          </w:p>
        </w:tc>
        <w:tc>
          <w:tcPr>
            <w:tcW w:w="1474" w:type="dxa"/>
            <w:vAlign w:val="center"/>
          </w:tcPr>
          <w:p>
            <w:pPr>
              <w:pStyle w:val="12"/>
            </w:pPr>
            <w:r>
              <w:t>20.50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35.72</w:t>
            </w:r>
          </w:p>
        </w:tc>
        <w:tc>
          <w:tcPr>
            <w:tcW w:w="1474" w:type="dxa"/>
            <w:vAlign w:val="center"/>
          </w:tcPr>
          <w:p>
            <w:pPr>
              <w:pStyle w:val="12"/>
            </w:pPr>
            <w:r>
              <w:t>35.72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463.20</w:t>
            </w:r>
          </w:p>
        </w:tc>
        <w:tc>
          <w:tcPr>
            <w:tcW w:w="1474" w:type="dxa"/>
            <w:vAlign w:val="center"/>
          </w:tcPr>
          <w:p>
            <w:pPr>
              <w:pStyle w:val="12"/>
            </w:pPr>
            <w:r>
              <w:t>463.20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544.94</w:t>
            </w:r>
          </w:p>
        </w:tc>
        <w:tc>
          <w:tcPr>
            <w:tcW w:w="3402" w:type="dxa"/>
            <w:vAlign w:val="center"/>
          </w:tcPr>
          <w:p>
            <w:pPr>
              <w:pStyle w:val="15"/>
            </w:pPr>
            <w:r>
              <w:t>本年支出合计</w:t>
            </w:r>
          </w:p>
        </w:tc>
        <w:tc>
          <w:tcPr>
            <w:tcW w:w="1474" w:type="dxa"/>
            <w:vAlign w:val="center"/>
          </w:tcPr>
          <w:p>
            <w:pPr>
              <w:pStyle w:val="16"/>
            </w:pPr>
            <w:r>
              <w:t>563.22</w:t>
            </w:r>
          </w:p>
        </w:tc>
        <w:tc>
          <w:tcPr>
            <w:tcW w:w="1474" w:type="dxa"/>
            <w:vAlign w:val="center"/>
          </w:tcPr>
          <w:p>
            <w:pPr>
              <w:pStyle w:val="16"/>
            </w:pPr>
            <w:r>
              <w:t>563.22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18.28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18.28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563.22</w:t>
            </w:r>
          </w:p>
        </w:tc>
        <w:tc>
          <w:tcPr>
            <w:tcW w:w="3402" w:type="dxa"/>
            <w:vAlign w:val="center"/>
          </w:tcPr>
          <w:p>
            <w:pPr>
              <w:pStyle w:val="15"/>
            </w:pPr>
            <w:r>
              <w:t>支出总计</w:t>
            </w:r>
          </w:p>
        </w:tc>
        <w:tc>
          <w:tcPr>
            <w:tcW w:w="1474" w:type="dxa"/>
            <w:vAlign w:val="center"/>
          </w:tcPr>
          <w:p>
            <w:pPr>
              <w:pStyle w:val="16"/>
            </w:pPr>
            <w:r>
              <w:t>563.22</w:t>
            </w:r>
          </w:p>
        </w:tc>
        <w:tc>
          <w:tcPr>
            <w:tcW w:w="1474" w:type="dxa"/>
            <w:vAlign w:val="center"/>
          </w:tcPr>
          <w:p>
            <w:pPr>
              <w:pStyle w:val="16"/>
            </w:pPr>
            <w:r>
              <w:t>563.22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563.22</w:t>
            </w:r>
          </w:p>
        </w:tc>
        <w:tc>
          <w:tcPr>
            <w:tcW w:w="2551" w:type="dxa"/>
            <w:vAlign w:val="center"/>
          </w:tcPr>
          <w:p>
            <w:pPr>
              <w:pStyle w:val="16"/>
            </w:pPr>
            <w:r>
              <w:t>498.53</w:t>
            </w:r>
          </w:p>
        </w:tc>
        <w:tc>
          <w:tcPr>
            <w:tcW w:w="2551" w:type="dxa"/>
            <w:vAlign w:val="center"/>
          </w:tcPr>
          <w:p>
            <w:pPr>
              <w:pStyle w:val="16"/>
            </w:pPr>
            <w:r>
              <w:t>64.69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43.80</w:t>
            </w:r>
          </w:p>
        </w:tc>
        <w:tc>
          <w:tcPr>
            <w:tcW w:w="2551" w:type="dxa"/>
            <w:vAlign w:val="center"/>
          </w:tcPr>
          <w:p>
            <w:pPr>
              <w:pStyle w:val="12"/>
            </w:pPr>
            <w:r>
              <w:t>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43.80</w:t>
            </w:r>
          </w:p>
        </w:tc>
        <w:tc>
          <w:tcPr>
            <w:tcW w:w="2551" w:type="dxa"/>
            <w:vAlign w:val="center"/>
          </w:tcPr>
          <w:p>
            <w:pPr>
              <w:pStyle w:val="12"/>
            </w:pPr>
            <w:r>
              <w:t>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43.80</w:t>
            </w:r>
          </w:p>
        </w:tc>
        <w:tc>
          <w:tcPr>
            <w:tcW w:w="2551" w:type="dxa"/>
            <w:vAlign w:val="center"/>
          </w:tcPr>
          <w:p>
            <w:pPr>
              <w:pStyle w:val="12"/>
            </w:pPr>
            <w:r>
              <w:t>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35.72</w:t>
            </w:r>
          </w:p>
        </w:tc>
        <w:tc>
          <w:tcPr>
            <w:tcW w:w="2551" w:type="dxa"/>
            <w:vAlign w:val="center"/>
          </w:tcPr>
          <w:p>
            <w:pPr>
              <w:pStyle w:val="12"/>
            </w:pPr>
            <w:r>
              <w:t>35.72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35.72</w:t>
            </w:r>
          </w:p>
        </w:tc>
        <w:tc>
          <w:tcPr>
            <w:tcW w:w="2551" w:type="dxa"/>
            <w:vAlign w:val="center"/>
          </w:tcPr>
          <w:p>
            <w:pPr>
              <w:pStyle w:val="12"/>
            </w:pPr>
            <w:r>
              <w:t>35.72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35.72</w:t>
            </w:r>
          </w:p>
        </w:tc>
        <w:tc>
          <w:tcPr>
            <w:tcW w:w="2551" w:type="dxa"/>
            <w:vAlign w:val="center"/>
          </w:tcPr>
          <w:p>
            <w:pPr>
              <w:pStyle w:val="12"/>
            </w:pPr>
            <w:r>
              <w:t>35.72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463.20</w:t>
            </w:r>
          </w:p>
        </w:tc>
        <w:tc>
          <w:tcPr>
            <w:tcW w:w="2551" w:type="dxa"/>
            <w:vAlign w:val="center"/>
          </w:tcPr>
          <w:p>
            <w:pPr>
              <w:pStyle w:val="12"/>
            </w:pPr>
            <w:r>
              <w:t>398.51</w:t>
            </w:r>
          </w:p>
        </w:tc>
        <w:tc>
          <w:tcPr>
            <w:tcW w:w="2551" w:type="dxa"/>
            <w:vAlign w:val="center"/>
          </w:tcPr>
          <w:p>
            <w:pPr>
              <w:pStyle w:val="12"/>
            </w:pPr>
            <w:r>
              <w:t>64.69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416.78</w:t>
            </w:r>
          </w:p>
        </w:tc>
        <w:tc>
          <w:tcPr>
            <w:tcW w:w="2551" w:type="dxa"/>
            <w:vAlign w:val="center"/>
          </w:tcPr>
          <w:p>
            <w:pPr>
              <w:pStyle w:val="12"/>
            </w:pPr>
            <w:r>
              <w:t>398.51</w:t>
            </w:r>
          </w:p>
        </w:tc>
        <w:tc>
          <w:tcPr>
            <w:tcW w:w="2551" w:type="dxa"/>
            <w:vAlign w:val="center"/>
          </w:tcPr>
          <w:p>
            <w:pPr>
              <w:pStyle w:val="12"/>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398.51</w:t>
            </w:r>
          </w:p>
        </w:tc>
        <w:tc>
          <w:tcPr>
            <w:tcW w:w="2551" w:type="dxa"/>
            <w:vAlign w:val="center"/>
          </w:tcPr>
          <w:p>
            <w:pPr>
              <w:pStyle w:val="12"/>
            </w:pPr>
            <w:r>
              <w:t>398.51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2240108</w:t>
            </w:r>
          </w:p>
        </w:tc>
        <w:tc>
          <w:tcPr>
            <w:tcW w:w="4535" w:type="dxa"/>
            <w:vAlign w:val="center"/>
          </w:tcPr>
          <w:p>
            <w:pPr>
              <w:pStyle w:val="13"/>
            </w:pPr>
            <w:r>
              <w:t>应急救援</w:t>
            </w:r>
          </w:p>
        </w:tc>
        <w:tc>
          <w:tcPr>
            <w:tcW w:w="2551" w:type="dxa"/>
            <w:vAlign w:val="center"/>
          </w:tcPr>
          <w:p>
            <w:pPr>
              <w:pStyle w:val="12"/>
            </w:pPr>
            <w:r>
              <w:t>18.27</w:t>
            </w:r>
          </w:p>
        </w:tc>
        <w:tc>
          <w:tcPr>
            <w:tcW w:w="2551" w:type="dxa"/>
            <w:vAlign w:val="center"/>
          </w:tcPr>
          <w:p>
            <w:pPr>
              <w:pStyle w:val="12"/>
            </w:pPr>
          </w:p>
        </w:tc>
        <w:tc>
          <w:tcPr>
            <w:tcW w:w="2551" w:type="dxa"/>
            <w:vAlign w:val="center"/>
          </w:tcPr>
          <w:p>
            <w:pPr>
              <w:pStyle w:val="12"/>
            </w:pPr>
            <w:r>
              <w:t>18.27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44.92</w:t>
            </w:r>
          </w:p>
        </w:tc>
        <w:tc>
          <w:tcPr>
            <w:tcW w:w="2551" w:type="dxa"/>
            <w:vAlign w:val="center"/>
          </w:tcPr>
          <w:p>
            <w:pPr>
              <w:pStyle w:val="12"/>
            </w:pPr>
          </w:p>
        </w:tc>
        <w:tc>
          <w:tcPr>
            <w:tcW w:w="2551" w:type="dxa"/>
            <w:vAlign w:val="center"/>
          </w:tcPr>
          <w:p>
            <w:pPr>
              <w:pStyle w:val="12"/>
            </w:pPr>
            <w:r>
              <w:t>44.92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44.92</w:t>
            </w:r>
          </w:p>
        </w:tc>
        <w:tc>
          <w:tcPr>
            <w:tcW w:w="2551" w:type="dxa"/>
            <w:vAlign w:val="center"/>
          </w:tcPr>
          <w:p>
            <w:pPr>
              <w:pStyle w:val="12"/>
            </w:pPr>
          </w:p>
        </w:tc>
        <w:tc>
          <w:tcPr>
            <w:tcW w:w="2551" w:type="dxa"/>
            <w:vAlign w:val="center"/>
          </w:tcPr>
          <w:p>
            <w:pPr>
              <w:pStyle w:val="12"/>
            </w:pPr>
            <w:r>
              <w:t>44.92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498.53</w:t>
            </w:r>
          </w:p>
        </w:tc>
        <w:tc>
          <w:tcPr>
            <w:tcW w:w="2551" w:type="dxa"/>
            <w:vAlign w:val="center"/>
          </w:tcPr>
          <w:p>
            <w:pPr>
              <w:pStyle w:val="16"/>
            </w:pPr>
            <w:r>
              <w:t>445.05</w:t>
            </w:r>
          </w:p>
        </w:tc>
        <w:tc>
          <w:tcPr>
            <w:tcW w:w="2551" w:type="dxa"/>
            <w:vAlign w:val="center"/>
          </w:tcPr>
          <w:p>
            <w:pPr>
              <w:pStyle w:val="16"/>
            </w:pPr>
            <w:r>
              <w:t>53.48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413.25</w:t>
            </w:r>
          </w:p>
        </w:tc>
        <w:tc>
          <w:tcPr>
            <w:tcW w:w="2551" w:type="dxa"/>
            <w:vAlign w:val="center"/>
          </w:tcPr>
          <w:p>
            <w:pPr>
              <w:pStyle w:val="12"/>
            </w:pPr>
            <w:r>
              <w:t>413.25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161.80</w:t>
            </w:r>
          </w:p>
        </w:tc>
        <w:tc>
          <w:tcPr>
            <w:tcW w:w="2551" w:type="dxa"/>
            <w:vAlign w:val="center"/>
          </w:tcPr>
          <w:p>
            <w:pPr>
              <w:pStyle w:val="12"/>
            </w:pPr>
            <w:r>
              <w:t>161.80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27.99</w:t>
            </w:r>
          </w:p>
        </w:tc>
        <w:tc>
          <w:tcPr>
            <w:tcW w:w="2551" w:type="dxa"/>
            <w:vAlign w:val="center"/>
          </w:tcPr>
          <w:p>
            <w:pPr>
              <w:pStyle w:val="12"/>
            </w:pPr>
            <w:r>
              <w:t>27.99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24.16</w:t>
            </w:r>
          </w:p>
        </w:tc>
        <w:tc>
          <w:tcPr>
            <w:tcW w:w="2551" w:type="dxa"/>
            <w:vAlign w:val="center"/>
          </w:tcPr>
          <w:p>
            <w:pPr>
              <w:pStyle w:val="12"/>
            </w:pPr>
            <w:r>
              <w:t>24.16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97.10</w:t>
            </w:r>
          </w:p>
        </w:tc>
        <w:tc>
          <w:tcPr>
            <w:tcW w:w="2551" w:type="dxa"/>
            <w:vAlign w:val="center"/>
          </w:tcPr>
          <w:p>
            <w:pPr>
              <w:pStyle w:val="12"/>
            </w:pPr>
            <w:r>
              <w:t>97.10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43.80</w:t>
            </w:r>
          </w:p>
        </w:tc>
        <w:tc>
          <w:tcPr>
            <w:tcW w:w="2551" w:type="dxa"/>
            <w:vAlign w:val="center"/>
          </w:tcPr>
          <w:p>
            <w:pPr>
              <w:pStyle w:val="12"/>
            </w:pPr>
            <w:r>
              <w:t>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2.18</w:t>
            </w:r>
          </w:p>
        </w:tc>
        <w:tc>
          <w:tcPr>
            <w:tcW w:w="2551" w:type="dxa"/>
            <w:vAlign w:val="center"/>
          </w:tcPr>
          <w:p>
            <w:pPr>
              <w:pStyle w:val="12"/>
            </w:pPr>
            <w:r>
              <w:t>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35.72</w:t>
            </w:r>
          </w:p>
        </w:tc>
        <w:tc>
          <w:tcPr>
            <w:tcW w:w="2551" w:type="dxa"/>
            <w:vAlign w:val="center"/>
          </w:tcPr>
          <w:p>
            <w:pPr>
              <w:pStyle w:val="12"/>
            </w:pPr>
            <w:r>
              <w:t>35.72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49.03</w:t>
            </w:r>
          </w:p>
        </w:tc>
        <w:tc>
          <w:tcPr>
            <w:tcW w:w="2551" w:type="dxa"/>
            <w:vAlign w:val="center"/>
          </w:tcPr>
          <w:p>
            <w:pPr>
              <w:pStyle w:val="12"/>
            </w:pPr>
          </w:p>
        </w:tc>
        <w:tc>
          <w:tcPr>
            <w:tcW w:w="2551" w:type="dxa"/>
            <w:vAlign w:val="center"/>
          </w:tcPr>
          <w:p>
            <w:pPr>
              <w:pStyle w:val="12"/>
            </w:pPr>
            <w:r>
              <w:t>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11.29</w:t>
            </w:r>
          </w:p>
        </w:tc>
        <w:tc>
          <w:tcPr>
            <w:tcW w:w="2551" w:type="dxa"/>
            <w:vAlign w:val="center"/>
          </w:tcPr>
          <w:p>
            <w:pPr>
              <w:pStyle w:val="12"/>
            </w:pPr>
          </w:p>
        </w:tc>
        <w:tc>
          <w:tcPr>
            <w:tcW w:w="2551" w:type="dxa"/>
            <w:vAlign w:val="center"/>
          </w:tcPr>
          <w:p>
            <w:pPr>
              <w:pStyle w:val="12"/>
            </w:pPr>
            <w:r>
              <w:t>11.29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9.56</w:t>
            </w:r>
          </w:p>
        </w:tc>
        <w:tc>
          <w:tcPr>
            <w:tcW w:w="2551" w:type="dxa"/>
            <w:vAlign w:val="center"/>
          </w:tcPr>
          <w:p>
            <w:pPr>
              <w:pStyle w:val="12"/>
            </w:pPr>
          </w:p>
        </w:tc>
        <w:tc>
          <w:tcPr>
            <w:tcW w:w="2551" w:type="dxa"/>
            <w:vAlign w:val="center"/>
          </w:tcPr>
          <w:p>
            <w:pPr>
              <w:pStyle w:val="12"/>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3.80</w:t>
            </w:r>
          </w:p>
        </w:tc>
        <w:tc>
          <w:tcPr>
            <w:tcW w:w="2551" w:type="dxa"/>
            <w:vAlign w:val="center"/>
          </w:tcPr>
          <w:p>
            <w:pPr>
              <w:pStyle w:val="12"/>
            </w:pPr>
          </w:p>
        </w:tc>
        <w:tc>
          <w:tcPr>
            <w:tcW w:w="2551" w:type="dxa"/>
            <w:vAlign w:val="center"/>
          </w:tcPr>
          <w:p>
            <w:pPr>
              <w:pStyle w:val="12"/>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31.80</w:t>
            </w:r>
          </w:p>
        </w:tc>
        <w:tc>
          <w:tcPr>
            <w:tcW w:w="2551" w:type="dxa"/>
            <w:vAlign w:val="center"/>
          </w:tcPr>
          <w:p>
            <w:pPr>
              <w:pStyle w:val="12"/>
            </w:pPr>
            <w:r>
              <w:t>31.80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29.28</w:t>
            </w:r>
          </w:p>
        </w:tc>
        <w:tc>
          <w:tcPr>
            <w:tcW w:w="2551" w:type="dxa"/>
            <w:vAlign w:val="center"/>
          </w:tcPr>
          <w:p>
            <w:pPr>
              <w:pStyle w:val="12"/>
            </w:pPr>
            <w:r>
              <w:t>29.28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2.52</w:t>
            </w:r>
          </w:p>
        </w:tc>
        <w:tc>
          <w:tcPr>
            <w:tcW w:w="2551" w:type="dxa"/>
            <w:vAlign w:val="center"/>
          </w:tcPr>
          <w:p>
            <w:pPr>
              <w:pStyle w:val="12"/>
            </w:pPr>
            <w:r>
              <w:t>2.52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4.45</w:t>
            </w:r>
          </w:p>
        </w:tc>
        <w:tc>
          <w:tcPr>
            <w:tcW w:w="2551" w:type="dxa"/>
            <w:vAlign w:val="center"/>
          </w:tcPr>
          <w:p>
            <w:pPr>
              <w:pStyle w:val="12"/>
            </w:pPr>
          </w:p>
        </w:tc>
        <w:tc>
          <w:tcPr>
            <w:tcW w:w="2551" w:type="dxa"/>
            <w:vAlign w:val="center"/>
          </w:tcPr>
          <w:p>
            <w:pPr>
              <w:pStyle w:val="12"/>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4.45</w:t>
            </w:r>
          </w:p>
        </w:tc>
        <w:tc>
          <w:tcPr>
            <w:tcW w:w="2551" w:type="dxa"/>
            <w:vAlign w:val="center"/>
          </w:tcPr>
          <w:p>
            <w:pPr>
              <w:pStyle w:val="12"/>
            </w:pPr>
          </w:p>
        </w:tc>
        <w:tc>
          <w:tcPr>
            <w:tcW w:w="2551" w:type="dxa"/>
            <w:vAlign w:val="center"/>
          </w:tcPr>
          <w:p>
            <w:pPr>
              <w:pStyle w:val="12"/>
            </w:pPr>
            <w:r>
              <w:t>4.45</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426深泽县应急管理局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3.70</w:t>
            </w:r>
          </w:p>
        </w:tc>
        <w:tc>
          <w:tcPr>
            <w:tcW w:w="2381" w:type="dxa"/>
            <w:vAlign w:val="center"/>
          </w:tcPr>
          <w:p>
            <w:pPr>
              <w:pStyle w:val="16"/>
            </w:pPr>
            <w:r>
              <w:t>3.70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3.70</w:t>
            </w:r>
          </w:p>
        </w:tc>
        <w:tc>
          <w:tcPr>
            <w:tcW w:w="2381" w:type="dxa"/>
            <w:vAlign w:val="center"/>
          </w:tcPr>
          <w:p>
            <w:pPr>
              <w:pStyle w:val="12"/>
            </w:pPr>
            <w:r>
              <w:t>3.70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3.70</w:t>
            </w:r>
          </w:p>
        </w:tc>
        <w:tc>
          <w:tcPr>
            <w:tcW w:w="2381" w:type="dxa"/>
            <w:vAlign w:val="center"/>
          </w:tcPr>
          <w:p>
            <w:pPr>
              <w:pStyle w:val="12"/>
            </w:pPr>
            <w:r>
              <w:t>3.70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3.70</w:t>
            </w:r>
          </w:p>
        </w:tc>
        <w:tc>
          <w:tcPr>
            <w:tcW w:w="2381" w:type="dxa"/>
            <w:vAlign w:val="center"/>
          </w:tcPr>
          <w:p>
            <w:pPr>
              <w:pStyle w:val="12"/>
            </w:pPr>
            <w:r>
              <w:t>3.70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深泽县应急管理局2026年部门预算信息公开情况说明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深泽县应急管理局2026年部门预算信息公开情况说明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按照《中华人民共和国预算法》、《地方预决算公开操作规程》和《关于进一步推进预算公开工作的实施意见》规定，现将深泽县应急管理局2026年部门预算公开如下：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部门职责：（一）负责应急管理工作，指导各级各部门应对安全生产类、自然灾害类等突发事件和综合防灾减灾救灾工作；负责安全生产综合监督管理工作。</w:t>
      </w:r>
    </w:p>
    <w:p>
      <w:pPr>
        <w:pStyle w:val="18"/>
      </w:pPr>
      <w:r>
        <w:t>（二）贯彻落实应急管理、安全生产等法规、规章和政策规定，组织编制县应急体系建设、安全生产和综合防灾减灾规划，组织制定相关规程并监督实施。</w:t>
      </w:r>
    </w:p>
    <w:p>
      <w:pPr>
        <w:pStyle w:val="18"/>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18"/>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18"/>
      </w:pPr>
      <w:r>
        <w:t>（五）组织协调安全生产类、自然灾害类等突发事件应急救援，综合研判突发事件发展态势并提出应对建议、协助县委、县政府指定的负责同志组织重大灾害应急处置工作。</w:t>
      </w:r>
    </w:p>
    <w:p>
      <w:pPr>
        <w:pStyle w:val="18"/>
      </w:pPr>
      <w:r>
        <w:t>（六）统一协调指挥各类应急专业队伍，建立应急协调联动机制，推进指挥平台对接，衔接武警部队参与应急救援工作。</w:t>
      </w:r>
    </w:p>
    <w:p>
      <w:pPr>
        <w:pStyle w:val="18"/>
      </w:pPr>
      <w:r>
        <w:t>（七）统筹应急救援力量建设，负责消防火灾扑救、抗洪抢险、地震和地质灾害救援、生产安全事故救援等专业应急救援力量建设，综合协调应急救援队伍，指导各级及社会应急救援力量建设。</w:t>
      </w:r>
    </w:p>
    <w:p>
      <w:pPr>
        <w:pStyle w:val="18"/>
      </w:pPr>
      <w:r>
        <w:t>（八）统筹协调消防工作，指导各级消防监督、火灾预防、火灾扑救等工作。</w:t>
      </w:r>
    </w:p>
    <w:p>
      <w:pPr>
        <w:pStyle w:val="18"/>
      </w:pPr>
      <w:r>
        <w:t>（九）组织协调水旱灾害、地震和地质灾害等防治工作，负责自然灾害综合监测预警工作；会同有关部门做好自然灾害综合风险评估工作。</w:t>
      </w:r>
    </w:p>
    <w:p>
      <w:pPr>
        <w:pStyle w:val="18"/>
      </w:pPr>
      <w:r>
        <w:t>（十）组织协调灾害救助工作，负责灾情核查、损失评估、救灾捐赠工人，管理、分配救灾款物并监督使用。</w:t>
      </w:r>
    </w:p>
    <w:p>
      <w:pPr>
        <w:pStyle w:val="18"/>
      </w:pPr>
      <w:r>
        <w:t>（十一）依法行使安全生产综合监督管理职权，指导协调、监督检查县有关部门和各乡镇政府、开发区的安全生产工作，组织开展安全生产巡查、考核工作。</w:t>
      </w:r>
    </w:p>
    <w:p>
      <w:pPr>
        <w:pStyle w:val="18"/>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和驻县中央企业、省、市属企业的安全生产工作；负责危险化学品安全监督管理综合工作和烟花爆竹安全生产监督管理工作。</w:t>
      </w:r>
    </w:p>
    <w:p>
      <w:pPr>
        <w:pStyle w:val="18"/>
      </w:pPr>
      <w:r>
        <w:t>（十三）依法开展生产安全事故调查处理，监督事故查处和责任追究落实情况；组织开展自然灾害类突发事件的调查评估工作；</w:t>
      </w:r>
    </w:p>
    <w:p>
      <w:pPr>
        <w:pStyle w:val="18"/>
      </w:pPr>
      <w:r>
        <w:t>（十四）制定应急物资储备和应急救援装备规划并组织实施，会同县发展和改革局（县粮食和物资储备局）等部门建立健全应急物资信息平台和调拨制度，在救灾时统一调度。</w:t>
      </w:r>
    </w:p>
    <w:p>
      <w:pPr>
        <w:pStyle w:val="18"/>
      </w:pPr>
      <w:r>
        <w:t>（十五）负责应急管理、安全生产宣传教育和培训工作，负责应急管理、安全生产科技成果推广应用和信息化建设工作。</w:t>
      </w:r>
    </w:p>
    <w:p>
      <w:pPr>
        <w:pStyle w:val="18"/>
      </w:pPr>
      <w:r>
        <w:t>（十六）负责组织协调、指导监督全县安全生产行政执法工作，组织开展对县属企业及驻县中央企业、省、市属企业的执法检查，组织开展对辖区安全生产重点企业的执法抽查。</w:t>
      </w:r>
    </w:p>
    <w:p>
      <w:pPr>
        <w:pStyle w:val="18"/>
      </w:pPr>
      <w:r>
        <w:t>（十七）组织开展应急管理方面的区域交流与合作。</w:t>
      </w:r>
    </w:p>
    <w:p>
      <w:pPr>
        <w:pStyle w:val="18"/>
      </w:pPr>
      <w:r>
        <w:t>（十八）完成县委、县政府交办的其他任务。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按照预算管理有关规定，目前部门预算的编制实行综合预算管理，即全部收入和支出都反映在预算中。深泽县应急管理局机关及所属事业单位的收支包含在部门预算中。</w:t>
      </w:r>
    </w:p>
    <w:p>
      <w:pPr>
        <w:pStyle w:val="19"/>
      </w:pPr>
      <w:r>
        <w:t>1、收入说明</w:t>
      </w:r>
    </w:p>
    <w:p>
      <w:pPr>
        <w:pStyle w:val="19"/>
      </w:pPr>
      <w:r>
        <w:t>反映本部门当年全部收入。2026年预算收入563.22万元，其中：一般公共预算收入544.94万元，基金预算收入0.00万元，国有资本经营预算收入0.00万元，财政专户核拨收入0.00万元，单位资金收入0.00万元，上年结转结余18.28万元。</w:t>
      </w:r>
    </w:p>
    <w:p>
      <w:pPr>
        <w:pStyle w:val="19"/>
      </w:pPr>
      <w:r>
        <w:t>2、支出说明</w:t>
      </w:r>
    </w:p>
    <w:p>
      <w:pPr>
        <w:pStyle w:val="19"/>
      </w:pPr>
      <w:r>
        <w:t>收支预算总表支出栏、基本支出表、项目支出表按经济分类和支出功能分类科目编制，反映深泽县应急管理局年度部门预算中支出预算的总体情况。2026年支出预算563.22万元，其中基本支出498.53万元，包括人员经费445.05万元和日常公用经费53.48万元；项目支出64.69万元，主要为提前下达2026年自然灾害救助资金（农房保险补助经费）33.68万元、提前下达2026年市级防震减灾群测群防补助资金1.5万元、全县政策性农房保险补助经费11.23万元；结转项目有深泽县应急能力提升预警指挥项目国债资金11.002031万元、深泽县应急能力提升预警指挥项目省级补助资金7.267万元、预拨2024年中央自然灾害救灾资金0.012万元。预计下年使用的单位资金结余0.00万元。委托业务费共计安排44.91万元，主要用于因技术原因确需对外委托的辅助性工作和确有必要对外委托开展咨询、评审、规划等工作。</w:t>
      </w:r>
    </w:p>
    <w:p>
      <w:pPr>
        <w:pStyle w:val="19"/>
      </w:pPr>
      <w:r>
        <w:t>3、比上年增减情况</w:t>
      </w:r>
    </w:p>
    <w:p>
      <w:pPr>
        <w:pStyle w:val="19"/>
      </w:pPr>
      <w:r>
        <w:t>2026年预算收支安排563.22万元，较2025年预算减少185.62万元，其中：基本支出增加174.18万元，主要为本年度本单位调入公务员2人，新招录事业管理人员12人，专业技术人员2人，共16人，人员经费相对增加，基本支出相应增加。项目支出减少359.80万元，主要为年初项目有所调整（本年度减少了石家庄市基层防灾工程项目县级配套资金、河北省自然灾害应急能力提升工程预警指挥项目县级配套资金、车辆购置经费等项目费用。）。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2026年，我部门机关运行经费共计安排53.48万元，主要用于日常维修、办公用房水电费、办公用房取暖费、办公用房物业管理费等日常运行支出。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3.70万元，其中因公出国（境）费0.00万元；公务用车购置及运维费3.70万元（其中：公务用车购置费为0.00万元，公务用车运维费3.70万元)；公务接待费0.00万元。与2025年相比减少18.20万元，增减变化的主要原因是公务用车购置费为0万元，比上年度减少18.00万元，主要原因为年初没有安排公务用车购置费；公务用车运行维护费3.70万元，与上年减少0.2万元，主要原因为厉行节约，压减公务运行维护费；公务接待费0.00万元，与上年度持平，无增减变化，主要原因为年初没有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应急管理局继续深入贯彻落实国家和省、市安全生产各项工作部署，坚持“党政同责、一岗双责”，把责任落实作为安全生产工作的首要前提，严格按照“管行业必须管安全、管业务必须管安全、管生产经营必须管安全”的要求，不断强化政府的安全领导责任、部门的安全监管责任和企业的安全主体责任，不断转变监管执法理念，创新工作方式，积极开展事故隐患大排查大整治等各项活动，形成一级抓一级、层层抓落实的安全责任格局。努力减少一般事故，有效防范较大事故，坚决遏制重大以上事故，确保全县安全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1.牢固把握安全生产基本盘基本面，全力遏制和减少生产安全事故。</w:t>
      </w:r>
    </w:p>
    <w:p>
      <w:pPr>
        <w:pStyle w:val="23"/>
      </w:pPr>
      <w:r>
        <w:t>绩效目标：完善安全生产责任体系和安全生产考核体系，修订优化安全生产考核指标和考核办法；持续推进危险化学品攻坚，继续聘请国家级危化专家，帮助企业排查隐患，提高化工行业整体安全水平；持续深化重点行业领域安全专项整治行动，大力开展执法检查，全面提高全县执法水平，有力消除事故隐患。</w:t>
      </w:r>
    </w:p>
    <w:p>
      <w:pPr>
        <w:pStyle w:val="23"/>
      </w:pPr>
      <w:r>
        <w:t>绩效指标：组织开展全县安全生产管理目标考核，切实发挥考核的激励约束作用。组织开展对6个乡镇党委、政府的安全生产巡查。在抓好企业双重预防机制建设基础上，加大推进力度，并进入常态化运行。继续聘请国家级危化专家，对危化企业开展隐患排查。监督重点行业企业按照工作计划开展系统整治，持续加大隐患排查力度，有效管控重大安全风险。组织召开4次防范重特大安全事故例会，对安全生产工作进行部署。根据年度执法计划，开展执法检查行动，对违法行为依法进行处罚。依法依规对生产安全事故及举报进行调查处理、核查。</w:t>
      </w:r>
    </w:p>
    <w:p>
      <w:pPr>
        <w:pStyle w:val="23"/>
      </w:pPr>
      <w:r>
        <w:t>2.加强基层基础工作，打牢应急管理基础。</w:t>
      </w:r>
    </w:p>
    <w:p>
      <w:pPr>
        <w:pStyle w:val="23"/>
      </w:pPr>
      <w:r>
        <w:t>绩效目标：开展应急救援队伍教育培训，加强普法宣传，强化执法监督。加强应急宣传和知识普及工作，进一步规范、强化值班值守和突发事件信息报送工作。</w:t>
      </w:r>
    </w:p>
    <w:p>
      <w:pPr>
        <w:pStyle w:val="23"/>
      </w:pPr>
      <w:r>
        <w:t>绩效指标：组织应急指挥人员应急能力专项培训和业务知识培训。进一步规范和优化专家使用流程。组织开展“5.12”防灾减灾日、“7.28”防震减灾周、安全生产月等主题宣传活动各1次。</w:t>
      </w:r>
    </w:p>
    <w:p>
      <w:pPr>
        <w:pStyle w:val="23"/>
      </w:pPr>
      <w:r>
        <w:t>3.加强防范减灾能力建设。</w:t>
      </w:r>
    </w:p>
    <w:p>
      <w:pPr>
        <w:pStyle w:val="23"/>
      </w:pPr>
      <w:r>
        <w:t>绩效目标：通过引导社会力量资金参与救灾工作，充分发挥财政资金的放大作用，加大对受灾群众的救助水平，提升受灾农户抵御自然灾害和突发事故能力，提高农村居民住房灾后重建保障能力。</w:t>
      </w:r>
    </w:p>
    <w:p>
      <w:pPr>
        <w:pStyle w:val="23"/>
      </w:pPr>
      <w:r>
        <w:t>绩效指标：一是继续在全县开展政策性农房保险工作，增强受灾群众抵御自然灾害的保障能力，促进社会和谐稳定。二是持续开展防灾减灾宣传活动，提高群众整体防范减灾意识和自救能力。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1.完善安全生产长效机制。对安委会主要成员单位安全监管职责规定、监管实施过程和监管效能进行梳理，剖析行业监管存在的管理薄弱环节。</w:t>
      </w:r>
    </w:p>
    <w:p>
      <w:pPr>
        <w:pStyle w:val="24"/>
      </w:pPr>
      <w:r>
        <w:t>2.深入推进安全生产大排查大整治行动。202</w:t>
      </w:r>
      <w:r>
        <w:rPr>
          <w:rFonts w:hint="eastAsia"/>
          <w:lang w:val="en-US" w:eastAsia="zh-CN"/>
        </w:rPr>
        <w:t>6</w:t>
      </w:r>
      <w:r>
        <w:t>年完成省市安全生产部署及各项安全生产专项整治，县安委办督促各乡镇及安委会各有关成员单位组织开展安全生产专项整治，对排查有遗漏、整治不到位的问题隐患，立即采取补救措施，限期整改到位。</w:t>
      </w:r>
    </w:p>
    <w:p>
      <w:pPr>
        <w:pStyle w:val="24"/>
      </w:pPr>
      <w:r>
        <w:t>3.加强防灾减灾能力建设。一是继续在全县开展政策性农房险工作，增强受灾群众抵御自然灾害的保障能力，促进社会和谐稳定。二是持续开展防灾减灾宣传活动，提高群众整体防灾减灾意识和自救能力。</w:t>
      </w:r>
    </w:p>
    <w:p>
      <w:pPr>
        <w:pStyle w:val="24"/>
      </w:pPr>
      <w:r>
        <w:t>4.加强安全生产宣传工作。一是认真开展“安全生产月”活动，以“安全生产月”为载体，充分发挥主题活动的促进作用；二是不断推进安全生产宣传进企业、进学校、进社区、进农村等活动，扩大人民群众对国家安全生产的方针政策、法律法规的知晓度，增强安全意识和防伤害能力；三是继续开展新《中华人民共和国安全生产法》宣传工作。</w:t>
      </w:r>
    </w:p>
    <w:p>
      <w:pPr>
        <w:pStyle w:val="24"/>
      </w:pPr>
      <w:r>
        <w:t>5.进一步提高为民服务意识。聘请专家对企业持续开展帮扶工作，助力企业做好风险管控、隐患排查治理工作，对需助企跑办项目建立一把手工程，由一把手亲自带队跑办。</w:t>
      </w:r>
    </w:p>
    <w:p>
      <w:pPr>
        <w:pStyle w:val="24"/>
      </w:pPr>
      <w:r>
        <w:t>6.认真做好安全生产培训教育工作。按照“统一规划、分级实施、分类指导”的要求，依法开展对企业主要负责人、安全管理人员和特种作业人员的培训，组织开展对企业主要负责人和安全监管人员和从业人员的安全生产培训工作，通过各种有效途径，使安全培训工作逐步转入常态化的培训轨道，做到应培尽培，全面提高广大安全管理人员和从业人员的安全管理水平和操作技能。</w:t>
      </w:r>
    </w:p>
    <w:p>
      <w:pPr>
        <w:pStyle w:val="24"/>
      </w:pPr>
      <w:r>
        <w:t>7.依法行政，强化行政执法工作。按照上级的有关要求，制定年度执法计划，大力开展重要时段的安全生产执法检查，隐患和问题整改，对检查出的隐患和问题按期进行复查，督促企业按期整改销号。</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840" w:firstLineChars="300"/>
        <w:jc w:val="left"/>
        <w:outlineLvl w:val="2"/>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lang w:eastAsia="zh-CN"/>
        </w:rPr>
        <w:t>本部门无专项资金预算安排情况及绩效目标。</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1、全县政策性农房保险补助经费绩效目标表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13012826P000240100080</w:t>
            </w:r>
          </w:p>
        </w:tc>
        <w:tc>
          <w:tcPr>
            <w:tcW w:w="2835" w:type="dxa"/>
            <w:vAlign w:val="center"/>
          </w:tcPr>
          <w:p>
            <w:pPr>
              <w:pStyle w:val="11"/>
            </w:pPr>
            <w:r>
              <w:t>项目名称</w:t>
            </w:r>
          </w:p>
        </w:tc>
        <w:tc>
          <w:tcPr>
            <w:tcW w:w="6095" w:type="dxa"/>
            <w:gridSpan w:val="3"/>
            <w:vAlign w:val="center"/>
          </w:tcPr>
          <w:p>
            <w:pPr>
              <w:pStyle w:val="13"/>
            </w:pPr>
            <w:r>
              <w:t>全县政策性农房保险补助经费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11.23</w:t>
            </w:r>
          </w:p>
        </w:tc>
        <w:tc>
          <w:tcPr>
            <w:tcW w:w="2835" w:type="dxa"/>
            <w:vAlign w:val="center"/>
          </w:tcPr>
          <w:p>
            <w:pPr>
              <w:pStyle w:val="11"/>
            </w:pPr>
            <w:r>
              <w:t>其中：财政    资金</w:t>
            </w:r>
          </w:p>
        </w:tc>
        <w:tc>
          <w:tcPr>
            <w:tcW w:w="2551" w:type="dxa"/>
            <w:vAlign w:val="center"/>
          </w:tcPr>
          <w:p>
            <w:pPr>
              <w:pStyle w:val="13"/>
            </w:pPr>
            <w:r>
              <w:t>11.23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通过引导社会力量资金参与救援工作，充分发挥财政资金的放大作用，加大对受灾群众的救助水平，提升受灾农户抵御自然灾害和突发事故能力，提高农户住房灾后重建保障能力。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11.23</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1.通过引导社会力量资金参与救灾工作，充分发挥财政资金的放大作用，加大对受灾群众的救助水平，提升受灾农户抵御自然灾害和突发事故能力，提高农户住房灾后重建保障能力。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开展政策性农房保险农户数量</w:t>
            </w:r>
          </w:p>
        </w:tc>
        <w:tc>
          <w:tcPr>
            <w:tcW w:w="5386" w:type="dxa"/>
            <w:vAlign w:val="center"/>
          </w:tcPr>
          <w:p>
            <w:pPr>
              <w:pStyle w:val="13"/>
            </w:pPr>
            <w:r>
              <w:t>补助县级政策性农房保险农户数量</w:t>
            </w:r>
          </w:p>
        </w:tc>
        <w:tc>
          <w:tcPr>
            <w:tcW w:w="2268" w:type="dxa"/>
            <w:vAlign w:val="center"/>
          </w:tcPr>
          <w:p>
            <w:pPr>
              <w:pStyle w:val="13"/>
            </w:pPr>
            <w:r>
              <w:t>全县6个乡镇农户</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农房保险出险赔付率</w:t>
            </w:r>
          </w:p>
        </w:tc>
        <w:tc>
          <w:tcPr>
            <w:tcW w:w="5386" w:type="dxa"/>
            <w:vAlign w:val="center"/>
          </w:tcPr>
          <w:p>
            <w:pPr>
              <w:pStyle w:val="13"/>
            </w:pPr>
            <w:r>
              <w:t>经鉴定符合承保理赔要求的因灾倒损的农房户，占后期理赔比例</w:t>
            </w:r>
          </w:p>
        </w:tc>
        <w:tc>
          <w:tcPr>
            <w:tcW w:w="2268" w:type="dxa"/>
            <w:vAlign w:val="center"/>
          </w:tcPr>
          <w:p>
            <w:pPr>
              <w:pStyle w:val="13"/>
            </w:pPr>
            <w:r>
              <w:t>100%</w:t>
            </w:r>
          </w:p>
        </w:tc>
        <w:tc>
          <w:tcPr>
            <w:tcW w:w="1276" w:type="dxa"/>
            <w:vAlign w:val="center"/>
          </w:tcPr>
          <w:p>
            <w:pPr>
              <w:pStyle w:val="13"/>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续保时间2025年12月到期</w:t>
            </w:r>
          </w:p>
        </w:tc>
        <w:tc>
          <w:tcPr>
            <w:tcW w:w="5386" w:type="dxa"/>
            <w:vAlign w:val="center"/>
          </w:tcPr>
          <w:p>
            <w:pPr>
              <w:pStyle w:val="13"/>
            </w:pPr>
            <w:r>
              <w:t>1月之内续保</w:t>
            </w:r>
          </w:p>
        </w:tc>
        <w:tc>
          <w:tcPr>
            <w:tcW w:w="2268" w:type="dxa"/>
            <w:vAlign w:val="center"/>
          </w:tcPr>
          <w:p>
            <w:pPr>
              <w:pStyle w:val="13"/>
            </w:pPr>
            <w:r>
              <w:t>≤30天</w:t>
            </w:r>
          </w:p>
        </w:tc>
        <w:tc>
          <w:tcPr>
            <w:tcW w:w="1276" w:type="dxa"/>
            <w:vAlign w:val="center"/>
          </w:tcPr>
          <w:p>
            <w:pPr>
              <w:pStyle w:val="13"/>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≤11.23万元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提高农户抵御灾害能力</w:t>
            </w:r>
          </w:p>
        </w:tc>
        <w:tc>
          <w:tcPr>
            <w:tcW w:w="5386" w:type="dxa"/>
            <w:vAlign w:val="center"/>
          </w:tcPr>
          <w:p>
            <w:pPr>
              <w:pStyle w:val="13"/>
            </w:pPr>
            <w:r>
              <w:t>较往年有所提高</w:t>
            </w:r>
          </w:p>
        </w:tc>
        <w:tc>
          <w:tcPr>
            <w:tcW w:w="2268" w:type="dxa"/>
            <w:vAlign w:val="center"/>
          </w:tcPr>
          <w:p>
            <w:pPr>
              <w:pStyle w:val="13"/>
            </w:pPr>
            <w:r>
              <w:t>提高农户抵御灾害能力</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农房保险参保农户满意率</w:t>
            </w:r>
          </w:p>
        </w:tc>
        <w:tc>
          <w:tcPr>
            <w:tcW w:w="5386" w:type="dxa"/>
            <w:vAlign w:val="center"/>
          </w:tcPr>
          <w:p>
            <w:pPr>
              <w:pStyle w:val="13"/>
            </w:pPr>
            <w:r>
              <w:t>农房保险参保农户满意率</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2、深泽县应急能力提升预警指挥项目国债资金绩效目标表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13012824P00014310014R</w:t>
            </w:r>
          </w:p>
        </w:tc>
        <w:tc>
          <w:tcPr>
            <w:tcW w:w="2835" w:type="dxa"/>
            <w:vAlign w:val="center"/>
          </w:tcPr>
          <w:p>
            <w:pPr>
              <w:pStyle w:val="11"/>
            </w:pPr>
            <w:r>
              <w:t>项目名称</w:t>
            </w:r>
          </w:p>
        </w:tc>
        <w:tc>
          <w:tcPr>
            <w:tcW w:w="6095" w:type="dxa"/>
            <w:gridSpan w:val="3"/>
            <w:vAlign w:val="center"/>
          </w:tcPr>
          <w:p>
            <w:pPr>
              <w:pStyle w:val="13"/>
            </w:pPr>
            <w:r>
              <w:t>深泽县应急能力提升预警指挥项目国债资金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进一步充实完善应急救援指挥体系，提升防灾减灾救灾能力。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1.按照河北省应急管理厅的要求，完成河北省自然灾害应急能力提升工程预警指挥项目实施，有效提升预警指挥能力。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采购应急通信装备配备</w:t>
            </w:r>
          </w:p>
        </w:tc>
        <w:tc>
          <w:tcPr>
            <w:tcW w:w="5386" w:type="dxa"/>
            <w:vAlign w:val="center"/>
          </w:tcPr>
          <w:p>
            <w:pPr>
              <w:pStyle w:val="13"/>
            </w:pPr>
            <w:r>
              <w:t>采购370MHZ多模融合终端</w:t>
            </w:r>
          </w:p>
        </w:tc>
        <w:tc>
          <w:tcPr>
            <w:tcW w:w="2268" w:type="dxa"/>
            <w:vAlign w:val="center"/>
          </w:tcPr>
          <w:p>
            <w:pPr>
              <w:pStyle w:val="13"/>
            </w:pPr>
            <w:r>
              <w:t>5套</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完善应急管理卫星通信系统建设</w:t>
            </w:r>
          </w:p>
        </w:tc>
        <w:tc>
          <w:tcPr>
            <w:tcW w:w="5386" w:type="dxa"/>
            <w:vAlign w:val="center"/>
          </w:tcPr>
          <w:p>
            <w:pPr>
              <w:pStyle w:val="13"/>
            </w:pPr>
            <w:r>
              <w:t>采购370M移动基站</w:t>
            </w:r>
          </w:p>
        </w:tc>
        <w:tc>
          <w:tcPr>
            <w:tcW w:w="2268" w:type="dxa"/>
            <w:vAlign w:val="center"/>
          </w:tcPr>
          <w:p>
            <w:pPr>
              <w:pStyle w:val="13"/>
            </w:pPr>
            <w:r>
              <w:t>2台</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专用设备购置完成时间</w:t>
            </w:r>
          </w:p>
        </w:tc>
        <w:tc>
          <w:tcPr>
            <w:tcW w:w="5386" w:type="dxa"/>
            <w:vAlign w:val="center"/>
          </w:tcPr>
          <w:p>
            <w:pPr>
              <w:pStyle w:val="13"/>
            </w:pPr>
            <w:r>
              <w:t xml:space="preserve"> 专用设备购置完成时间</w:t>
            </w:r>
          </w:p>
        </w:tc>
        <w:tc>
          <w:tcPr>
            <w:tcW w:w="2268" w:type="dxa"/>
            <w:vAlign w:val="center"/>
          </w:tcPr>
          <w:p>
            <w:pPr>
              <w:pStyle w:val="13"/>
            </w:pPr>
            <w:r>
              <w:t>2026年12月31 日</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预警指挥项目预算执行数</w:t>
            </w:r>
          </w:p>
        </w:tc>
        <w:tc>
          <w:tcPr>
            <w:tcW w:w="5386" w:type="dxa"/>
            <w:vAlign w:val="center"/>
          </w:tcPr>
          <w:p>
            <w:pPr>
              <w:pStyle w:val="13"/>
            </w:pPr>
            <w:r>
              <w:t>河北省自然灾害应急能力提升工程预警指挥项目预算执行数</w:t>
            </w:r>
          </w:p>
        </w:tc>
        <w:tc>
          <w:tcPr>
            <w:tcW w:w="2268" w:type="dxa"/>
            <w:vAlign w:val="center"/>
          </w:tcPr>
          <w:p>
            <w:pPr>
              <w:pStyle w:val="13"/>
            </w:pPr>
            <w:r>
              <w:t>≤11.1万元</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有效提高预警指挥通信能力</w:t>
            </w:r>
          </w:p>
        </w:tc>
        <w:tc>
          <w:tcPr>
            <w:tcW w:w="5386" w:type="dxa"/>
            <w:vAlign w:val="center"/>
          </w:tcPr>
          <w:p>
            <w:pPr>
              <w:pStyle w:val="13"/>
            </w:pPr>
            <w:r>
              <w:t>设备投入使用后有效提高预警指挥通信能力，要求设备投入使用到指挥</w:t>
            </w:r>
          </w:p>
        </w:tc>
        <w:tc>
          <w:tcPr>
            <w:tcW w:w="2268" w:type="dxa"/>
            <w:vAlign w:val="center"/>
          </w:tcPr>
          <w:p>
            <w:pPr>
              <w:pStyle w:val="13"/>
            </w:pPr>
            <w:r>
              <w:t>≥90％</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设备设施保养计划</w:t>
            </w:r>
          </w:p>
        </w:tc>
        <w:tc>
          <w:tcPr>
            <w:tcW w:w="5386" w:type="dxa"/>
            <w:vAlign w:val="center"/>
          </w:tcPr>
          <w:p>
            <w:pPr>
              <w:pStyle w:val="13"/>
            </w:pPr>
            <w:r>
              <w:t>设备持续保养</w:t>
            </w:r>
          </w:p>
        </w:tc>
        <w:tc>
          <w:tcPr>
            <w:tcW w:w="2268" w:type="dxa"/>
            <w:vAlign w:val="center"/>
          </w:tcPr>
          <w:p>
            <w:pPr>
              <w:pStyle w:val="13"/>
            </w:pPr>
            <w:r>
              <w:t>设备持续保养</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装备使用人员满意度</w:t>
            </w:r>
          </w:p>
        </w:tc>
        <w:tc>
          <w:tcPr>
            <w:tcW w:w="5386" w:type="dxa"/>
            <w:vAlign w:val="center"/>
          </w:tcPr>
          <w:p>
            <w:pPr>
              <w:pStyle w:val="13"/>
            </w:pPr>
            <w:r>
              <w:t>装备使用人员满意度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3、深泽县应急能力提升预警指挥项目省级补助资金绩效目标表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13012824P00014310015D</w:t>
            </w:r>
          </w:p>
        </w:tc>
        <w:tc>
          <w:tcPr>
            <w:tcW w:w="2835" w:type="dxa"/>
            <w:vAlign w:val="center"/>
          </w:tcPr>
          <w:p>
            <w:pPr>
              <w:pStyle w:val="11"/>
            </w:pPr>
            <w:r>
              <w:t>项目名称</w:t>
            </w:r>
          </w:p>
        </w:tc>
        <w:tc>
          <w:tcPr>
            <w:tcW w:w="6095" w:type="dxa"/>
            <w:gridSpan w:val="3"/>
            <w:vAlign w:val="center"/>
          </w:tcPr>
          <w:p>
            <w:pPr>
              <w:pStyle w:val="13"/>
            </w:pPr>
            <w:r>
              <w:t>深泽县应急能力提升预警指挥项目省级补助资金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7.27</w:t>
            </w:r>
          </w:p>
        </w:tc>
        <w:tc>
          <w:tcPr>
            <w:tcW w:w="2835" w:type="dxa"/>
            <w:vAlign w:val="center"/>
          </w:tcPr>
          <w:p>
            <w:pPr>
              <w:pStyle w:val="11"/>
            </w:pPr>
            <w:r>
              <w:t>其中：财政    资金</w:t>
            </w:r>
          </w:p>
        </w:tc>
        <w:tc>
          <w:tcPr>
            <w:tcW w:w="2551" w:type="dxa"/>
            <w:vAlign w:val="center"/>
          </w:tcPr>
          <w:p>
            <w:pPr>
              <w:pStyle w:val="13"/>
            </w:pPr>
            <w:r>
              <w:t>7.27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进一步充实完善应急救援指挥体系，提升防灾减灾救灾能力。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1.按照河北省应急管理厅的要求，完成河北省自然灾害应急能力提升工程预警指挥项目实施，有效提升预警指挥能力。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采购应急通信装备配备</w:t>
            </w:r>
          </w:p>
        </w:tc>
        <w:tc>
          <w:tcPr>
            <w:tcW w:w="5386" w:type="dxa"/>
            <w:vAlign w:val="center"/>
          </w:tcPr>
          <w:p>
            <w:pPr>
              <w:pStyle w:val="13"/>
            </w:pPr>
            <w:r>
              <w:t>采购370MHZ多模融合终端</w:t>
            </w:r>
          </w:p>
        </w:tc>
        <w:tc>
          <w:tcPr>
            <w:tcW w:w="2268" w:type="dxa"/>
            <w:vAlign w:val="center"/>
          </w:tcPr>
          <w:p>
            <w:pPr>
              <w:pStyle w:val="13"/>
            </w:pPr>
            <w:r>
              <w:t>5套</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完善应急管理卫星通信系统建设</w:t>
            </w:r>
          </w:p>
        </w:tc>
        <w:tc>
          <w:tcPr>
            <w:tcW w:w="5386" w:type="dxa"/>
            <w:vAlign w:val="center"/>
          </w:tcPr>
          <w:p>
            <w:pPr>
              <w:pStyle w:val="13"/>
            </w:pPr>
            <w:r>
              <w:t>采购370M移动基站</w:t>
            </w:r>
          </w:p>
        </w:tc>
        <w:tc>
          <w:tcPr>
            <w:tcW w:w="2268" w:type="dxa"/>
            <w:vAlign w:val="center"/>
          </w:tcPr>
          <w:p>
            <w:pPr>
              <w:pStyle w:val="13"/>
            </w:pPr>
            <w:r>
              <w:t>2台</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专用设备购置完成时间</w:t>
            </w:r>
          </w:p>
        </w:tc>
        <w:tc>
          <w:tcPr>
            <w:tcW w:w="5386" w:type="dxa"/>
            <w:vAlign w:val="center"/>
          </w:tcPr>
          <w:p>
            <w:pPr>
              <w:pStyle w:val="13"/>
            </w:pPr>
            <w:r>
              <w:t xml:space="preserve"> 专用设备购置完成时间</w:t>
            </w:r>
          </w:p>
        </w:tc>
        <w:tc>
          <w:tcPr>
            <w:tcW w:w="2268" w:type="dxa"/>
            <w:vAlign w:val="center"/>
          </w:tcPr>
          <w:p>
            <w:pPr>
              <w:pStyle w:val="13"/>
            </w:pPr>
            <w:r>
              <w:t>2026年12月31日</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预警指挥项目预算执行数</w:t>
            </w:r>
          </w:p>
        </w:tc>
        <w:tc>
          <w:tcPr>
            <w:tcW w:w="5386" w:type="dxa"/>
            <w:vAlign w:val="center"/>
          </w:tcPr>
          <w:p>
            <w:pPr>
              <w:pStyle w:val="13"/>
            </w:pPr>
            <w:r>
              <w:t>河北省自然灾害应急能力提升工程预警指挥项目预算执行数</w:t>
            </w:r>
          </w:p>
        </w:tc>
        <w:tc>
          <w:tcPr>
            <w:tcW w:w="2268" w:type="dxa"/>
            <w:vAlign w:val="center"/>
          </w:tcPr>
          <w:p>
            <w:pPr>
              <w:pStyle w:val="13"/>
            </w:pPr>
            <w:r>
              <w:t>≤7.27万元</w:t>
            </w:r>
          </w:p>
        </w:tc>
        <w:tc>
          <w:tcPr>
            <w:tcW w:w="1276" w:type="dxa"/>
            <w:vAlign w:val="center"/>
          </w:tcPr>
          <w:p>
            <w:pPr>
              <w:pStyle w:val="13"/>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有效提高预警指挥通信能力</w:t>
            </w:r>
          </w:p>
        </w:tc>
        <w:tc>
          <w:tcPr>
            <w:tcW w:w="5386" w:type="dxa"/>
            <w:vAlign w:val="center"/>
          </w:tcPr>
          <w:p>
            <w:pPr>
              <w:pStyle w:val="13"/>
            </w:pPr>
            <w:r>
              <w:t>设备投入使用后有效提高预警指挥通信能力，要求设备投入使用到指挥</w:t>
            </w:r>
          </w:p>
        </w:tc>
        <w:tc>
          <w:tcPr>
            <w:tcW w:w="2268" w:type="dxa"/>
            <w:vAlign w:val="center"/>
          </w:tcPr>
          <w:p>
            <w:pPr>
              <w:pStyle w:val="13"/>
            </w:pPr>
            <w:r>
              <w:t>≥90%</w:t>
            </w:r>
          </w:p>
        </w:tc>
        <w:tc>
          <w:tcPr>
            <w:tcW w:w="1276" w:type="dxa"/>
            <w:vAlign w:val="center"/>
          </w:tcPr>
          <w:p>
            <w:pPr>
              <w:pStyle w:val="13"/>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设备持续保养</w:t>
            </w:r>
          </w:p>
        </w:tc>
        <w:tc>
          <w:tcPr>
            <w:tcW w:w="5386" w:type="dxa"/>
            <w:vAlign w:val="center"/>
          </w:tcPr>
          <w:p>
            <w:pPr>
              <w:pStyle w:val="13"/>
            </w:pPr>
            <w:r>
              <w:t>设备持续保养</w:t>
            </w:r>
          </w:p>
        </w:tc>
        <w:tc>
          <w:tcPr>
            <w:tcW w:w="2268" w:type="dxa"/>
            <w:vAlign w:val="center"/>
          </w:tcPr>
          <w:p>
            <w:pPr>
              <w:pStyle w:val="13"/>
            </w:pPr>
            <w:r>
              <w:t>设备持续保养</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装备使用人员满意度</w:t>
            </w:r>
          </w:p>
        </w:tc>
        <w:tc>
          <w:tcPr>
            <w:tcW w:w="5386" w:type="dxa"/>
            <w:vAlign w:val="center"/>
          </w:tcPr>
          <w:p>
            <w:pPr>
              <w:pStyle w:val="13"/>
            </w:pPr>
            <w:r>
              <w:t>装备使用人员满意度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4、提前下达2026年市级防震减灾群测群防补助资金的通知绩效目标表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13012826P00024010007C</w:t>
            </w:r>
          </w:p>
        </w:tc>
        <w:tc>
          <w:tcPr>
            <w:tcW w:w="2835" w:type="dxa"/>
            <w:vAlign w:val="center"/>
          </w:tcPr>
          <w:p>
            <w:pPr>
              <w:pStyle w:val="11"/>
            </w:pPr>
            <w:r>
              <w:t>项目名称</w:t>
            </w:r>
          </w:p>
        </w:tc>
        <w:tc>
          <w:tcPr>
            <w:tcW w:w="6095" w:type="dxa"/>
            <w:gridSpan w:val="3"/>
            <w:vAlign w:val="center"/>
          </w:tcPr>
          <w:p>
            <w:pPr>
              <w:pStyle w:val="13"/>
            </w:pPr>
            <w:r>
              <w:t>提前下达2026年市级防震减灾群测群防补助资金的通知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用于县级地震监测台网观测仪器维护、观测环境保护和地震预警终端的维护等工作的开支。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0.75</w:t>
            </w:r>
          </w:p>
        </w:tc>
        <w:tc>
          <w:tcPr>
            <w:tcW w:w="2551" w:type="dxa"/>
            <w:vAlign w:val="center"/>
          </w:tcPr>
          <w:p>
            <w:pPr>
              <w:pStyle w:val="14"/>
            </w:pPr>
            <w:r>
              <w:t xml:space="preserve"> </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1.通过补充县级地震群测群防工作经费，确保地震监测平台站运行率，数据质量优秀率等。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地震观测站点</w:t>
            </w:r>
          </w:p>
        </w:tc>
        <w:tc>
          <w:tcPr>
            <w:tcW w:w="5386" w:type="dxa"/>
            <w:vAlign w:val="center"/>
          </w:tcPr>
          <w:p>
            <w:pPr>
              <w:pStyle w:val="13"/>
            </w:pPr>
            <w:r>
              <w:t>地震观测站点</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观测站点正常运行率</w:t>
            </w:r>
          </w:p>
        </w:tc>
        <w:tc>
          <w:tcPr>
            <w:tcW w:w="5386" w:type="dxa"/>
            <w:vAlign w:val="center"/>
          </w:tcPr>
          <w:p>
            <w:pPr>
              <w:pStyle w:val="13"/>
            </w:pPr>
            <w:r>
              <w:t>观测站点正常运行率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按时上报观测站点观测数据</w:t>
            </w:r>
          </w:p>
        </w:tc>
        <w:tc>
          <w:tcPr>
            <w:tcW w:w="5386" w:type="dxa"/>
            <w:vAlign w:val="center"/>
          </w:tcPr>
          <w:p>
            <w:pPr>
              <w:pStyle w:val="13"/>
            </w:pPr>
            <w:r>
              <w:t>按照有关工作要求完成上报观测站点观测数据</w:t>
            </w:r>
          </w:p>
        </w:tc>
        <w:tc>
          <w:tcPr>
            <w:tcW w:w="2268" w:type="dxa"/>
            <w:vAlign w:val="center"/>
          </w:tcPr>
          <w:p>
            <w:pPr>
              <w:pStyle w:val="13"/>
            </w:pPr>
            <w:r>
              <w:t>在规定时间内完成上报工作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预算总成本</w:t>
            </w:r>
          </w:p>
        </w:tc>
        <w:tc>
          <w:tcPr>
            <w:tcW w:w="5386" w:type="dxa"/>
            <w:vAlign w:val="center"/>
          </w:tcPr>
          <w:p>
            <w:pPr>
              <w:pStyle w:val="13"/>
            </w:pPr>
            <w:r>
              <w:t>防震减灾群测群防专项经费总金额</w:t>
            </w:r>
          </w:p>
        </w:tc>
        <w:tc>
          <w:tcPr>
            <w:tcW w:w="2268" w:type="dxa"/>
            <w:vAlign w:val="center"/>
          </w:tcPr>
          <w:p>
            <w:pPr>
              <w:pStyle w:val="13"/>
            </w:pPr>
            <w:r>
              <w:t>≤1.5万元</w:t>
            </w:r>
          </w:p>
        </w:tc>
        <w:tc>
          <w:tcPr>
            <w:tcW w:w="1276" w:type="dxa"/>
            <w:vAlign w:val="center"/>
          </w:tcPr>
          <w:p>
            <w:pPr>
              <w:pStyle w:val="13"/>
            </w:pPr>
            <w:r>
              <w:t>时效成本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降低地震造成的经济损失和人员伤亡</w:t>
            </w:r>
          </w:p>
        </w:tc>
        <w:tc>
          <w:tcPr>
            <w:tcW w:w="5386" w:type="dxa"/>
            <w:vAlign w:val="center"/>
          </w:tcPr>
          <w:p>
            <w:pPr>
              <w:pStyle w:val="13"/>
            </w:pPr>
            <w:r>
              <w:t>降低地震造成的经济损失和人员伤亡</w:t>
            </w:r>
          </w:p>
        </w:tc>
        <w:tc>
          <w:tcPr>
            <w:tcW w:w="2268" w:type="dxa"/>
            <w:vAlign w:val="center"/>
          </w:tcPr>
          <w:p>
            <w:pPr>
              <w:pStyle w:val="13"/>
            </w:pPr>
            <w:r>
              <w:t>进一步降低地震造成的经济损失和人员伤亡</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5、提前下达2026年自然灾害救助资金（农房保险试点补助经费）绩效目标表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13012826P00024010006Q</w:t>
            </w:r>
          </w:p>
        </w:tc>
        <w:tc>
          <w:tcPr>
            <w:tcW w:w="2835" w:type="dxa"/>
            <w:vAlign w:val="center"/>
          </w:tcPr>
          <w:p>
            <w:pPr>
              <w:pStyle w:val="11"/>
            </w:pPr>
            <w:r>
              <w:t>项目名称</w:t>
            </w:r>
          </w:p>
        </w:tc>
        <w:tc>
          <w:tcPr>
            <w:tcW w:w="6095" w:type="dxa"/>
            <w:gridSpan w:val="3"/>
            <w:vAlign w:val="center"/>
          </w:tcPr>
          <w:p>
            <w:pPr>
              <w:pStyle w:val="13"/>
            </w:pPr>
            <w:r>
              <w:t>提前下达2026年自然灾害救助资金（农房保险试点补助经费）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33.68</w:t>
            </w:r>
          </w:p>
        </w:tc>
        <w:tc>
          <w:tcPr>
            <w:tcW w:w="2835" w:type="dxa"/>
            <w:vAlign w:val="center"/>
          </w:tcPr>
          <w:p>
            <w:pPr>
              <w:pStyle w:val="11"/>
            </w:pPr>
            <w:r>
              <w:t>其中：财政    资金</w:t>
            </w:r>
          </w:p>
        </w:tc>
        <w:tc>
          <w:tcPr>
            <w:tcW w:w="2551" w:type="dxa"/>
            <w:vAlign w:val="center"/>
          </w:tcPr>
          <w:p>
            <w:pPr>
              <w:pStyle w:val="13"/>
            </w:pPr>
            <w:r>
              <w:t>33.68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通过引导社会力量资金参与救灾工作，充分发挥财政资金的放大作用，加大对受灾群众的救助水平，提升受灾农户抵御自然灾害和突发事故能力，提高农户住房灾后重建保障能力。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33.68</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开展政策性农房保险农户数量</w:t>
            </w:r>
          </w:p>
        </w:tc>
        <w:tc>
          <w:tcPr>
            <w:tcW w:w="5386" w:type="dxa"/>
            <w:vAlign w:val="center"/>
          </w:tcPr>
          <w:p>
            <w:pPr>
              <w:pStyle w:val="13"/>
            </w:pPr>
            <w:r>
              <w:t>补助县级政策性农房保险农户数量</w:t>
            </w:r>
          </w:p>
        </w:tc>
        <w:tc>
          <w:tcPr>
            <w:tcW w:w="2268" w:type="dxa"/>
            <w:vAlign w:val="center"/>
          </w:tcPr>
          <w:p>
            <w:pPr>
              <w:pStyle w:val="13"/>
            </w:pPr>
            <w:r>
              <w:t>≤5.62万户</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农房保险出险赔付率</w:t>
            </w:r>
          </w:p>
        </w:tc>
        <w:tc>
          <w:tcPr>
            <w:tcW w:w="5386" w:type="dxa"/>
            <w:vAlign w:val="center"/>
          </w:tcPr>
          <w:p>
            <w:pPr>
              <w:pStyle w:val="13"/>
            </w:pPr>
            <w:r>
              <w:t>经鉴定符合承保理赔要求的因灾倒损农房户，占后期理赔比例。</w:t>
            </w:r>
          </w:p>
        </w:tc>
        <w:tc>
          <w:tcPr>
            <w:tcW w:w="2268" w:type="dxa"/>
            <w:vAlign w:val="center"/>
          </w:tcPr>
          <w:p>
            <w:pPr>
              <w:pStyle w:val="13"/>
            </w:pPr>
            <w:r>
              <w:t>100%</w:t>
            </w:r>
          </w:p>
        </w:tc>
        <w:tc>
          <w:tcPr>
            <w:tcW w:w="1276" w:type="dxa"/>
            <w:vAlign w:val="center"/>
          </w:tcPr>
          <w:p>
            <w:pPr>
              <w:pStyle w:val="13"/>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农房保险到期续保时间</w:t>
            </w:r>
          </w:p>
        </w:tc>
        <w:tc>
          <w:tcPr>
            <w:tcW w:w="5386" w:type="dxa"/>
            <w:vAlign w:val="center"/>
          </w:tcPr>
          <w:p>
            <w:pPr>
              <w:pStyle w:val="13"/>
            </w:pPr>
            <w:r>
              <w:t>1月以内</w:t>
            </w:r>
          </w:p>
        </w:tc>
        <w:tc>
          <w:tcPr>
            <w:tcW w:w="2268" w:type="dxa"/>
            <w:vAlign w:val="center"/>
          </w:tcPr>
          <w:p>
            <w:pPr>
              <w:pStyle w:val="13"/>
            </w:pPr>
            <w:r>
              <w:t>1个月</w:t>
            </w:r>
          </w:p>
        </w:tc>
        <w:tc>
          <w:tcPr>
            <w:tcW w:w="1276" w:type="dxa"/>
            <w:vAlign w:val="center"/>
          </w:tcPr>
          <w:p>
            <w:pPr>
              <w:pStyle w:val="13"/>
            </w:pPr>
            <w:r>
              <w:t>保险协议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≤33.69万元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提高农户抵御灾害能力</w:t>
            </w:r>
          </w:p>
        </w:tc>
        <w:tc>
          <w:tcPr>
            <w:tcW w:w="5386" w:type="dxa"/>
            <w:vAlign w:val="center"/>
          </w:tcPr>
          <w:p>
            <w:pPr>
              <w:pStyle w:val="13"/>
            </w:pPr>
            <w:r>
              <w:t>较往年有所提高</w:t>
            </w:r>
          </w:p>
        </w:tc>
        <w:tc>
          <w:tcPr>
            <w:tcW w:w="2268" w:type="dxa"/>
            <w:vAlign w:val="center"/>
          </w:tcPr>
          <w:p>
            <w:pPr>
              <w:pStyle w:val="13"/>
            </w:pPr>
            <w:r>
              <w:t>提高农户抵御灾害能力</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承保户数可持续</w:t>
            </w:r>
          </w:p>
        </w:tc>
        <w:tc>
          <w:tcPr>
            <w:tcW w:w="5386" w:type="dxa"/>
            <w:vAlign w:val="center"/>
          </w:tcPr>
          <w:p>
            <w:pPr>
              <w:pStyle w:val="13"/>
            </w:pPr>
            <w:r>
              <w:t>承保户数可持续</w:t>
            </w:r>
          </w:p>
        </w:tc>
        <w:tc>
          <w:tcPr>
            <w:tcW w:w="2268" w:type="dxa"/>
            <w:vAlign w:val="center"/>
          </w:tcPr>
          <w:p>
            <w:pPr>
              <w:pStyle w:val="13"/>
            </w:pPr>
            <w:r>
              <w:t>≤5.62万户</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不适用</w:t>
            </w:r>
          </w:p>
        </w:tc>
        <w:tc>
          <w:tcPr>
            <w:tcW w:w="5386" w:type="dxa"/>
            <w:vAlign w:val="center"/>
          </w:tcPr>
          <w:p>
            <w:pPr>
              <w:pStyle w:val="13"/>
            </w:pPr>
            <w:r>
              <w:t>不适用</w:t>
            </w:r>
          </w:p>
        </w:tc>
        <w:tc>
          <w:tcPr>
            <w:tcW w:w="2268" w:type="dxa"/>
            <w:vAlign w:val="center"/>
          </w:tcPr>
          <w:p>
            <w:pPr>
              <w:pStyle w:val="13"/>
            </w:pPr>
            <w:r>
              <w:t>不适用</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农房保险参保农户满意率</w:t>
            </w:r>
          </w:p>
        </w:tc>
        <w:tc>
          <w:tcPr>
            <w:tcW w:w="5386" w:type="dxa"/>
            <w:vAlign w:val="center"/>
          </w:tcPr>
          <w:p>
            <w:pPr>
              <w:pStyle w:val="13"/>
            </w:pPr>
            <w:r>
              <w:t>农房保险参保农户满意率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6、预拨2024年中央自然灾害救灾资金绩效目标表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13012824P00016610479P</w:t>
            </w:r>
          </w:p>
        </w:tc>
        <w:tc>
          <w:tcPr>
            <w:tcW w:w="2835" w:type="dxa"/>
            <w:vAlign w:val="center"/>
          </w:tcPr>
          <w:p>
            <w:pPr>
              <w:pStyle w:val="11"/>
            </w:pPr>
            <w:r>
              <w:t>项目名称</w:t>
            </w:r>
          </w:p>
        </w:tc>
        <w:tc>
          <w:tcPr>
            <w:tcW w:w="6095" w:type="dxa"/>
            <w:gridSpan w:val="3"/>
            <w:vAlign w:val="center"/>
          </w:tcPr>
          <w:p>
            <w:pPr>
              <w:pStyle w:val="13"/>
            </w:pPr>
            <w:r>
              <w:t>预拨2024年中央自然灾害救灾资金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用于开展应急抢险和受灾群众救助工作，重点做好搜救转移安置受灾人员、排危除险等应急处置、开展次生灾害隐患排查和应急整治，倒损房屋修复等工作。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1.开展应急抢险和受灾群众救助工作。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应急抢险率</w:t>
            </w:r>
          </w:p>
        </w:tc>
        <w:tc>
          <w:tcPr>
            <w:tcW w:w="5386" w:type="dxa"/>
            <w:vAlign w:val="center"/>
          </w:tcPr>
          <w:p>
            <w:pPr>
              <w:pStyle w:val="13"/>
            </w:pPr>
            <w:r>
              <w:t>应急抢险和受灾群众救助率</w:t>
            </w:r>
          </w:p>
        </w:tc>
        <w:tc>
          <w:tcPr>
            <w:tcW w:w="2268" w:type="dxa"/>
            <w:vAlign w:val="center"/>
          </w:tcPr>
          <w:p>
            <w:pPr>
              <w:pStyle w:val="13"/>
            </w:pPr>
            <w:r>
              <w:t>≥98%</w:t>
            </w:r>
          </w:p>
        </w:tc>
        <w:tc>
          <w:tcPr>
            <w:tcW w:w="1276" w:type="dxa"/>
            <w:vAlign w:val="center"/>
          </w:tcPr>
          <w:p>
            <w:pPr>
              <w:pStyle w:val="13"/>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w:t>
            </w:r>
          </w:p>
        </w:tc>
        <w:tc>
          <w:tcPr>
            <w:tcW w:w="5386" w:type="dxa"/>
            <w:vAlign w:val="center"/>
          </w:tcPr>
          <w:p>
            <w:pPr>
              <w:pStyle w:val="13"/>
            </w:pPr>
            <w:r>
              <w:t>救助资金使用率</w:t>
            </w:r>
          </w:p>
        </w:tc>
        <w:tc>
          <w:tcPr>
            <w:tcW w:w="2268" w:type="dxa"/>
            <w:vAlign w:val="center"/>
          </w:tcPr>
          <w:p>
            <w:pPr>
              <w:pStyle w:val="13"/>
            </w:pPr>
            <w:r>
              <w:t>≥98%</w:t>
            </w:r>
          </w:p>
        </w:tc>
        <w:tc>
          <w:tcPr>
            <w:tcW w:w="1276" w:type="dxa"/>
            <w:vAlign w:val="center"/>
          </w:tcPr>
          <w:p>
            <w:pPr>
              <w:pStyle w:val="13"/>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≥98%</w:t>
            </w:r>
          </w:p>
        </w:tc>
        <w:tc>
          <w:tcPr>
            <w:tcW w:w="1276" w:type="dxa"/>
            <w:vAlign w:val="center"/>
          </w:tcPr>
          <w:p>
            <w:pPr>
              <w:pStyle w:val="13"/>
            </w:pPr>
            <w: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≤0.02万元</w:t>
            </w:r>
          </w:p>
        </w:tc>
        <w:tc>
          <w:tcPr>
            <w:tcW w:w="1276" w:type="dxa"/>
            <w:vAlign w:val="center"/>
          </w:tcPr>
          <w:p>
            <w:pPr>
              <w:pStyle w:val="13"/>
            </w:pPr>
            <w:r>
              <w:t>按照预算文本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受灾群众基本生活得到保障</w:t>
            </w:r>
          </w:p>
        </w:tc>
        <w:tc>
          <w:tcPr>
            <w:tcW w:w="2268" w:type="dxa"/>
            <w:vAlign w:val="center"/>
          </w:tcPr>
          <w:p>
            <w:pPr>
              <w:pStyle w:val="13"/>
            </w:pPr>
            <w:r>
              <w:t>≥98%</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提高风险辨识能力</w:t>
            </w:r>
          </w:p>
        </w:tc>
        <w:tc>
          <w:tcPr>
            <w:tcW w:w="5386" w:type="dxa"/>
            <w:vAlign w:val="center"/>
          </w:tcPr>
          <w:p>
            <w:pPr>
              <w:pStyle w:val="13"/>
            </w:pPr>
            <w:r>
              <w:t>帮助群众提高抢险救灾能力</w:t>
            </w:r>
          </w:p>
        </w:tc>
        <w:tc>
          <w:tcPr>
            <w:tcW w:w="2268" w:type="dxa"/>
            <w:vAlign w:val="center"/>
          </w:tcPr>
          <w:p>
            <w:pPr>
              <w:pStyle w:val="13"/>
            </w:pPr>
            <w:r>
              <w:t>≥98%</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保障能力提升情况</w:t>
            </w:r>
          </w:p>
        </w:tc>
        <w:tc>
          <w:tcPr>
            <w:tcW w:w="5386" w:type="dxa"/>
            <w:vAlign w:val="center"/>
          </w:tcPr>
          <w:p>
            <w:pPr>
              <w:pStyle w:val="13"/>
            </w:pPr>
            <w:r>
              <w:t>保障应急救灾能力提升</w:t>
            </w:r>
          </w:p>
        </w:tc>
        <w:tc>
          <w:tcPr>
            <w:tcW w:w="2268" w:type="dxa"/>
            <w:vAlign w:val="center"/>
          </w:tcPr>
          <w:p>
            <w:pPr>
              <w:pStyle w:val="13"/>
            </w:pPr>
            <w:r>
              <w:t>≥98%</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426深泽县应急管理局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58.22</w:t>
            </w:r>
          </w:p>
        </w:tc>
        <w:tc>
          <w:tcPr>
            <w:tcW w:w="964" w:type="dxa"/>
            <w:vAlign w:val="center"/>
          </w:tcPr>
          <w:p>
            <w:pPr>
              <w:pStyle w:val="16"/>
            </w:pPr>
            <w:r>
              <w:t>50.96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7.27</w:t>
            </w:r>
          </w:p>
        </w:tc>
        <w:tc>
          <w:tcPr>
            <w:tcW w:w="964" w:type="dxa"/>
            <w:vAlign w:val="center"/>
          </w:tcPr>
          <w:p>
            <w:pPr>
              <w:pStyle w:val="16"/>
            </w:pPr>
          </w:p>
        </w:tc>
        <w:tc>
          <w:tcPr>
            <w:tcW w:w="964" w:type="dxa"/>
            <w:vAlign w:val="center"/>
          </w:tcPr>
          <w:p>
            <w:pPr>
              <w:pStyle w:val="16"/>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深泽县应急管理局本级小计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58.22</w:t>
            </w:r>
          </w:p>
        </w:tc>
        <w:tc>
          <w:tcPr>
            <w:tcW w:w="964" w:type="dxa"/>
            <w:vAlign w:val="center"/>
          </w:tcPr>
          <w:p>
            <w:pPr>
              <w:pStyle w:val="16"/>
            </w:pPr>
            <w:r>
              <w:t>50.96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7.27</w:t>
            </w:r>
          </w:p>
        </w:tc>
        <w:tc>
          <w:tcPr>
            <w:tcW w:w="964" w:type="dxa"/>
            <w:vAlign w:val="center"/>
          </w:tcPr>
          <w:p>
            <w:pPr>
              <w:pStyle w:val="16"/>
            </w:pPr>
          </w:p>
        </w:tc>
        <w:tc>
          <w:tcPr>
            <w:tcW w:w="964" w:type="dxa"/>
            <w:vAlign w:val="center"/>
          </w:tcPr>
          <w:p>
            <w:pPr>
              <w:pStyle w:val="16"/>
            </w:pPr>
            <w:r>
              <w:t>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深泽县应急能力提升预警指挥项目省级补助资金</w:t>
            </w:r>
          </w:p>
        </w:tc>
        <w:tc>
          <w:tcPr>
            <w:tcW w:w="964" w:type="dxa"/>
            <w:vAlign w:val="center"/>
          </w:tcPr>
          <w:p>
            <w:pPr>
              <w:pStyle w:val="12"/>
            </w:pPr>
            <w:r>
              <w:t>7.27</w:t>
            </w:r>
          </w:p>
        </w:tc>
        <w:tc>
          <w:tcPr>
            <w:tcW w:w="1134" w:type="dxa"/>
            <w:vAlign w:val="center"/>
          </w:tcPr>
          <w:p>
            <w:pPr>
              <w:pStyle w:val="13"/>
            </w:pPr>
            <w:r>
              <w:t>其他终端设备</w:t>
            </w:r>
          </w:p>
        </w:tc>
        <w:tc>
          <w:tcPr>
            <w:tcW w:w="1134" w:type="dxa"/>
            <w:vAlign w:val="center"/>
          </w:tcPr>
          <w:p>
            <w:pPr>
              <w:pStyle w:val="13"/>
            </w:pPr>
            <w:r>
              <w:t>A02010499</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7.27</w:t>
            </w:r>
          </w:p>
        </w:tc>
        <w:tc>
          <w:tcPr>
            <w:tcW w:w="964" w:type="dxa"/>
            <w:vAlign w:val="center"/>
          </w:tcPr>
          <w:p>
            <w:pPr>
              <w:pStyle w:val="12"/>
            </w:pPr>
            <w:r>
              <w:t>7.27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7.27</w:t>
            </w:r>
          </w:p>
        </w:tc>
        <w:tc>
          <w:tcPr>
            <w:tcW w:w="964" w:type="dxa"/>
            <w:vAlign w:val="center"/>
          </w:tcPr>
          <w:p>
            <w:pPr>
              <w:pStyle w:val="12"/>
            </w:pPr>
          </w:p>
        </w:tc>
        <w:tc>
          <w:tcPr>
            <w:tcW w:w="964" w:type="dxa"/>
            <w:vAlign w:val="center"/>
          </w:tcPr>
          <w:p>
            <w:pPr>
              <w:pStyle w:val="12"/>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47.00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0.50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47.00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0.12</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47.00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3</w:t>
            </w:r>
          </w:p>
        </w:tc>
        <w:tc>
          <w:tcPr>
            <w:tcW w:w="850" w:type="dxa"/>
            <w:vAlign w:val="center"/>
          </w:tcPr>
          <w:p>
            <w:pPr>
              <w:pStyle w:val="12"/>
            </w:pPr>
            <w:r>
              <w:t>0.03</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47.00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0.02</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全县政策性农房保险补助经费</w:t>
            </w:r>
          </w:p>
        </w:tc>
        <w:tc>
          <w:tcPr>
            <w:tcW w:w="964" w:type="dxa"/>
            <w:vAlign w:val="center"/>
          </w:tcPr>
          <w:p>
            <w:pPr>
              <w:pStyle w:val="12"/>
            </w:pPr>
            <w:r>
              <w:t>11.23</w:t>
            </w:r>
          </w:p>
        </w:tc>
        <w:tc>
          <w:tcPr>
            <w:tcW w:w="1134" w:type="dxa"/>
            <w:vAlign w:val="center"/>
          </w:tcPr>
          <w:p>
            <w:pPr>
              <w:pStyle w:val="13"/>
            </w:pPr>
            <w:r>
              <w:t>其他灾害防治和应急管理服务</w:t>
            </w:r>
          </w:p>
        </w:tc>
        <w:tc>
          <w:tcPr>
            <w:tcW w:w="1134" w:type="dxa"/>
            <w:vAlign w:val="center"/>
          </w:tcPr>
          <w:p>
            <w:pPr>
              <w:pStyle w:val="13"/>
            </w:pPr>
            <w:r>
              <w:t>C05039900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11.23</w:t>
            </w:r>
          </w:p>
        </w:tc>
        <w:tc>
          <w:tcPr>
            <w:tcW w:w="964" w:type="dxa"/>
            <w:vAlign w:val="center"/>
          </w:tcPr>
          <w:p>
            <w:pPr>
              <w:pStyle w:val="12"/>
            </w:pPr>
            <w:r>
              <w:t>11.23</w:t>
            </w:r>
          </w:p>
        </w:tc>
        <w:tc>
          <w:tcPr>
            <w:tcW w:w="964" w:type="dxa"/>
            <w:vAlign w:val="center"/>
          </w:tcPr>
          <w:p>
            <w:pPr>
              <w:pStyle w:val="12"/>
            </w:pPr>
            <w:r>
              <w:t>11.23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提前下达2026年自然灾害救助资金（农房保险试点补助经费）</w:t>
            </w:r>
          </w:p>
        </w:tc>
        <w:tc>
          <w:tcPr>
            <w:tcW w:w="964" w:type="dxa"/>
            <w:vAlign w:val="center"/>
          </w:tcPr>
          <w:p>
            <w:pPr>
              <w:pStyle w:val="12"/>
            </w:pPr>
            <w:r>
              <w:t>33.68</w:t>
            </w:r>
          </w:p>
        </w:tc>
        <w:tc>
          <w:tcPr>
            <w:tcW w:w="1134" w:type="dxa"/>
            <w:vAlign w:val="center"/>
          </w:tcPr>
          <w:p>
            <w:pPr>
              <w:pStyle w:val="13"/>
            </w:pPr>
            <w:r>
              <w:t>其他灾害防治和应急管理服务</w:t>
            </w:r>
          </w:p>
        </w:tc>
        <w:tc>
          <w:tcPr>
            <w:tcW w:w="1134" w:type="dxa"/>
            <w:vAlign w:val="center"/>
          </w:tcPr>
          <w:p>
            <w:pPr>
              <w:pStyle w:val="13"/>
            </w:pPr>
            <w:r>
              <w:t>C05039900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33.68</w:t>
            </w:r>
          </w:p>
        </w:tc>
        <w:tc>
          <w:tcPr>
            <w:tcW w:w="964" w:type="dxa"/>
            <w:vAlign w:val="center"/>
          </w:tcPr>
          <w:p>
            <w:pPr>
              <w:pStyle w:val="12"/>
            </w:pPr>
            <w:r>
              <w:t>33.68</w:t>
            </w:r>
          </w:p>
        </w:tc>
        <w:tc>
          <w:tcPr>
            <w:tcW w:w="964" w:type="dxa"/>
            <w:vAlign w:val="center"/>
          </w:tcPr>
          <w:p>
            <w:pPr>
              <w:pStyle w:val="12"/>
            </w:pPr>
            <w:r>
              <w:t>33.68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深泽县应急管理局（含所属单位）上年末固定资产金额为1218.95万元（详见下表）。本年度拟购置固定资产总额为4.45万元，已按要求列入政府采购预算，详见政府采购预算表。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426深泽县应急管理局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14471</w:t>
            </w:r>
          </w:p>
        </w:tc>
        <w:tc>
          <w:tcPr>
            <w:tcW w:w="2835" w:type="dxa"/>
            <w:vAlign w:val="center"/>
          </w:tcPr>
          <w:p>
            <w:pPr>
              <w:pStyle w:val="12"/>
            </w:pPr>
            <w:r>
              <w:t>1195.68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C3EC539"/>
    <w:multiLevelType w:val="singleLevel"/>
    <w:tmpl w:val="AC3EC53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35D9C"/>
    <w:rsid w:val="2A573BFD"/>
    <w:rsid w:val="400C7A70"/>
    <w:rsid w:val="52F37ABF"/>
    <w:rsid w:val="7CC567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4</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2026-02-11T14:27:00Z</dcterms:created>
  <dc:creator>Administrator</dc:creator>
  <cp:lastModifiedBy>Administrator</cp:lastModifiedBy>
  <dcterms:modified xsi:type="dcterms:W3CDTF">2026-03-02T01:37:28Z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