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708.09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578.28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55.77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27.68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46.36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708.09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708.09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708.09</w:t>
            </w:r>
          </w:p>
        </w:tc>
        <w:tc>
          <w:tcPr>
            <w:tcW w:w="4535" w:type="dxa"/>
            <w:vAlign w:val="center"/>
          </w:tcPr>
          <w:p>
            <w:pPr>
              <w:pStyle w:val="单元格样式6"/>
            </w:pPr>
            <w:r>
              <w:t xml:space="preserve">支出总计</w:t>
            </w:r>
          </w:p>
        </w:tc>
        <w:tc>
          <w:tcPr>
            <w:tcW w:w="2126" w:type="dxa"/>
            <w:vAlign w:val="center"/>
          </w:tcPr>
          <w:p>
            <w:pPr>
              <w:pStyle w:val="单元格样式7"/>
            </w:pPr>
            <w:r>
              <w:t xml:space="preserve">708.09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708.09</w:t>
            </w:r>
          </w:p>
        </w:tc>
        <w:tc>
          <w:tcPr>
            <w:tcW w:w="1134" w:type="dxa"/>
            <w:vAlign w:val="center"/>
          </w:tcPr>
          <w:p>
            <w:pPr>
              <w:pStyle w:val="单元格样式7"/>
            </w:pPr>
            <w:r>
              <w:t xml:space="preserve">708.09</w:t>
            </w:r>
          </w:p>
        </w:tc>
        <w:tc>
          <w:tcPr>
            <w:tcW w:w="1134" w:type="dxa"/>
            <w:vAlign w:val="center"/>
          </w:tcPr>
          <w:p>
            <w:pPr>
              <w:pStyle w:val="单元格样式7"/>
            </w:pPr>
            <w:r>
              <w:t xml:space="preserve">708.09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708.09</w:t>
            </w:r>
          </w:p>
        </w:tc>
        <w:tc>
          <w:tcPr>
            <w:tcW w:w="1361" w:type="dxa"/>
            <w:vAlign w:val="center"/>
          </w:tcPr>
          <w:p>
            <w:pPr>
              <w:pStyle w:val="单元格样式7"/>
            </w:pPr>
            <w:r>
              <w:t xml:space="preserve">708.09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708.09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578.28</w:t>
            </w:r>
          </w:p>
        </w:tc>
        <w:tc>
          <w:tcPr>
            <w:tcW w:w="1474" w:type="dxa"/>
            <w:vAlign w:val="center"/>
          </w:tcPr>
          <w:p>
            <w:pPr>
              <w:pStyle w:val="单元格样式4"/>
            </w:pPr>
            <w:r>
              <w:t xml:space="preserve">578.28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55.77</w:t>
            </w:r>
          </w:p>
        </w:tc>
        <w:tc>
          <w:tcPr>
            <w:tcW w:w="1474" w:type="dxa"/>
            <w:vAlign w:val="center"/>
          </w:tcPr>
          <w:p>
            <w:pPr>
              <w:pStyle w:val="单元格样式4"/>
            </w:pPr>
            <w:r>
              <w:t xml:space="preserve">55.77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27.68</w:t>
            </w:r>
          </w:p>
        </w:tc>
        <w:tc>
          <w:tcPr>
            <w:tcW w:w="1474" w:type="dxa"/>
            <w:vAlign w:val="center"/>
          </w:tcPr>
          <w:p>
            <w:pPr>
              <w:pStyle w:val="单元格样式4"/>
            </w:pPr>
            <w:r>
              <w:t xml:space="preserve">27.68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46.36</w:t>
            </w:r>
          </w:p>
        </w:tc>
        <w:tc>
          <w:tcPr>
            <w:tcW w:w="1474" w:type="dxa"/>
            <w:vAlign w:val="center"/>
          </w:tcPr>
          <w:p>
            <w:pPr>
              <w:pStyle w:val="单元格样式4"/>
            </w:pPr>
            <w:r>
              <w:t xml:space="preserve">46.36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708.09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708.09</w:t>
            </w:r>
          </w:p>
        </w:tc>
        <w:tc>
          <w:tcPr>
            <w:tcW w:w="1474" w:type="dxa"/>
            <w:vAlign w:val="center"/>
          </w:tcPr>
          <w:p>
            <w:pPr>
              <w:pStyle w:val="单元格样式7"/>
            </w:pPr>
            <w:r>
              <w:t xml:space="preserve">708.09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708.09</w:t>
            </w:r>
          </w:p>
        </w:tc>
        <w:tc>
          <w:tcPr>
            <w:tcW w:w="3402" w:type="dxa"/>
            <w:vAlign w:val="center"/>
          </w:tcPr>
          <w:p>
            <w:pPr>
              <w:pStyle w:val="单元格样式6"/>
            </w:pPr>
            <w:r>
              <w:t xml:space="preserve">支出总计</w:t>
            </w:r>
          </w:p>
        </w:tc>
        <w:tc>
          <w:tcPr>
            <w:tcW w:w="1474" w:type="dxa"/>
            <w:vAlign w:val="center"/>
          </w:tcPr>
          <w:p>
            <w:pPr>
              <w:pStyle w:val="单元格样式7"/>
            </w:pPr>
            <w:r>
              <w:t xml:space="preserve">708.09</w:t>
            </w:r>
          </w:p>
        </w:tc>
        <w:tc>
          <w:tcPr>
            <w:tcW w:w="1474" w:type="dxa"/>
            <w:vAlign w:val="center"/>
          </w:tcPr>
          <w:p>
            <w:pPr>
              <w:pStyle w:val="单元格样式7"/>
            </w:pPr>
            <w:r>
              <w:t xml:space="preserve">708.09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708.09</w:t>
            </w:r>
          </w:p>
        </w:tc>
        <w:tc>
          <w:tcPr>
            <w:tcW w:w="2551" w:type="dxa"/>
            <w:vAlign w:val="center"/>
          </w:tcPr>
          <w:p>
            <w:pPr>
              <w:pStyle w:val="单元格样式7"/>
            </w:pPr>
            <w:r>
              <w:t xml:space="preserve">708.09</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708.09</w:t>
            </w:r>
          </w:p>
        </w:tc>
        <w:tc>
          <w:tcPr>
            <w:tcW w:w="2551" w:type="dxa"/>
            <w:vAlign w:val="center"/>
          </w:tcPr>
          <w:p>
            <w:pPr>
              <w:pStyle w:val="单元格样式7"/>
            </w:pPr>
            <w:r>
              <w:t xml:space="preserve">637.64</w:t>
            </w:r>
          </w:p>
        </w:tc>
        <w:tc>
          <w:tcPr>
            <w:tcW w:w="2551" w:type="dxa"/>
            <w:vAlign w:val="center"/>
          </w:tcPr>
          <w:p>
            <w:pPr>
              <w:pStyle w:val="单元格样式7"/>
            </w:pPr>
            <w:r>
              <w:t xml:space="preserve">70.45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611.14</w:t>
            </w:r>
          </w:p>
        </w:tc>
        <w:tc>
          <w:tcPr>
            <w:tcW w:w="2551" w:type="dxa"/>
            <w:vAlign w:val="center"/>
          </w:tcPr>
          <w:p>
            <w:pPr>
              <w:pStyle w:val="单元格样式4"/>
            </w:pPr>
            <w:r>
              <w:t xml:space="preserve">611.14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207.36</w:t>
            </w:r>
          </w:p>
        </w:tc>
        <w:tc>
          <w:tcPr>
            <w:tcW w:w="2551" w:type="dxa"/>
            <w:vAlign w:val="center"/>
          </w:tcPr>
          <w:p>
            <w:pPr>
              <w:pStyle w:val="单元格样式4"/>
            </w:pPr>
            <w:r>
              <w:t xml:space="preserve">207.36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90.22</w:t>
            </w:r>
          </w:p>
        </w:tc>
        <w:tc>
          <w:tcPr>
            <w:tcW w:w="2551" w:type="dxa"/>
            <w:vAlign w:val="center"/>
          </w:tcPr>
          <w:p>
            <w:pPr>
              <w:pStyle w:val="单元格样式4"/>
            </w:pPr>
            <w:r>
              <w:t xml:space="preserve">90.22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70.45</w:t>
            </w:r>
          </w:p>
        </w:tc>
        <w:tc>
          <w:tcPr>
            <w:tcW w:w="2551" w:type="dxa"/>
            <w:vAlign w:val="center"/>
          </w:tcPr>
          <w:p>
            <w:pPr>
              <w:pStyle w:val="单元格样式4"/>
            </w:pPr>
            <w:r>
              <w:t xml:space="preserve">70.45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76.10</w:t>
            </w:r>
          </w:p>
        </w:tc>
        <w:tc>
          <w:tcPr>
            <w:tcW w:w="2551" w:type="dxa"/>
            <w:vAlign w:val="center"/>
          </w:tcPr>
          <w:p>
            <w:pPr>
              <w:pStyle w:val="单元格样式4"/>
            </w:pPr>
            <w:r>
              <w:t xml:space="preserve">76.10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1.42</w:t>
            </w:r>
          </w:p>
        </w:tc>
        <w:tc>
          <w:tcPr>
            <w:tcW w:w="2551" w:type="dxa"/>
            <w:vAlign w:val="center"/>
          </w:tcPr>
          <w:p>
            <w:pPr>
              <w:pStyle w:val="单元格样式4"/>
            </w:pPr>
            <w:r>
              <w:t xml:space="preserve">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35.78</w:t>
            </w:r>
          </w:p>
        </w:tc>
        <w:tc>
          <w:tcPr>
            <w:tcW w:w="2551" w:type="dxa"/>
            <w:vAlign w:val="center"/>
          </w:tcPr>
          <w:p>
            <w:pPr>
              <w:pStyle w:val="单元格样式4"/>
            </w:pPr>
            <w:r>
              <w:t xml:space="preserve">35.78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70.45</w:t>
            </w:r>
          </w:p>
        </w:tc>
        <w:tc>
          <w:tcPr>
            <w:tcW w:w="2551" w:type="dxa"/>
            <w:vAlign w:val="center"/>
          </w:tcPr>
          <w:p>
            <w:pPr>
              <w:pStyle w:val="单元格样式4"/>
            </w:pPr>
          </w:p>
        </w:tc>
        <w:tc>
          <w:tcPr>
            <w:tcW w:w="2551" w:type="dxa"/>
            <w:vAlign w:val="center"/>
          </w:tcPr>
          <w:p>
            <w:pPr>
              <w:pStyle w:val="单元格样式4"/>
            </w:pPr>
            <w:r>
              <w:t xml:space="preserve">70.45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15.40</w:t>
            </w:r>
          </w:p>
        </w:tc>
        <w:tc>
          <w:tcPr>
            <w:tcW w:w="2551" w:type="dxa"/>
            <w:vAlign w:val="center"/>
          </w:tcPr>
          <w:p>
            <w:pPr>
              <w:pStyle w:val="单元格样式4"/>
            </w:pPr>
          </w:p>
        </w:tc>
        <w:tc>
          <w:tcPr>
            <w:tcW w:w="2551" w:type="dxa"/>
            <w:vAlign w:val="center"/>
          </w:tcPr>
          <w:p>
            <w:pPr>
              <w:pStyle w:val="单元格样式4"/>
            </w:pPr>
            <w:r>
              <w:t xml:space="preserve">15.40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25.20</w:t>
            </w:r>
          </w:p>
        </w:tc>
        <w:tc>
          <w:tcPr>
            <w:tcW w:w="2551" w:type="dxa"/>
            <w:vAlign w:val="center"/>
          </w:tcPr>
          <w:p>
            <w:pPr>
              <w:pStyle w:val="单元格样式4"/>
            </w:pPr>
          </w:p>
        </w:tc>
        <w:tc>
          <w:tcPr>
            <w:tcW w:w="2551" w:type="dxa"/>
            <w:vAlign w:val="center"/>
          </w:tcPr>
          <w:p>
            <w:pPr>
              <w:pStyle w:val="单元格样式4"/>
            </w:pPr>
            <w:r>
              <w:t xml:space="preserve">25.20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26.50</w:t>
            </w:r>
          </w:p>
        </w:tc>
        <w:tc>
          <w:tcPr>
            <w:tcW w:w="2551" w:type="dxa"/>
            <w:vAlign w:val="center"/>
          </w:tcPr>
          <w:p>
            <w:pPr>
              <w:pStyle w:val="单元格样式4"/>
            </w:pPr>
            <w:r>
              <w:t xml:space="preserve">26.50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24.48</w:t>
            </w:r>
          </w:p>
        </w:tc>
        <w:tc>
          <w:tcPr>
            <w:tcW w:w="2551" w:type="dxa"/>
            <w:vAlign w:val="center"/>
          </w:tcPr>
          <w:p>
            <w:pPr>
              <w:pStyle w:val="单元格样式4"/>
            </w:pPr>
            <w:r>
              <w:t xml:space="preserve">24.48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2.02</w:t>
            </w:r>
          </w:p>
        </w:tc>
        <w:tc>
          <w:tcPr>
            <w:tcW w:w="2551" w:type="dxa"/>
            <w:vAlign w:val="center"/>
          </w:tcPr>
          <w:p>
            <w:pPr>
              <w:pStyle w:val="单元格样式4"/>
            </w:pPr>
            <w:r>
              <w:t xml:space="preserve">2.02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深泽县白庄乡人民政府2026年部门预算信息公开情况说明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深泽县白庄乡人民政府2026年部门预算信息公开情况说明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按照《中华人民共和国预算法》、《地方预决算公开操作规程》和《关于进一步推进预算公开工作的实施意见》规定，现将深泽县白庄乡人民政府2026年部门预算公开如下：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根据《深泽县白庄乡人民政府职能配置、内设机构和人员编制规定》，深泽县白庄乡人民政府的主要职责是：</w:t>
      </w:r>
    </w:p>
    <w:p>
      <w:pPr>
        <w:pStyle w:val="插入文本样式-插入预算公开部门职责文件"/>
      </w:pPr>
      <w:r>
        <w:t xml:space="preserve">一是依法理财原则。将《预算法》的有关精神贯穿于预算编制的全过程，着力推进预算管理改革，完善政府预算体系，改进预算控制机制，优化支出结构，深化预决算公开，逐步建立全面规范、公开透明的预算制度。</w:t>
      </w:r>
    </w:p>
    <w:p>
      <w:pPr>
        <w:pStyle w:val="插入文本样式-插入预算公开部门职责文件"/>
      </w:pPr>
      <w:r>
        <w:t xml:space="preserve">二是统筹兼顾原则。在保障基本公共服务合理需要的前提下，优先安排县委、县政府确定的改善民生、促进产业发展、推进城市建设和支持生态环境治理等重点支出。</w:t>
      </w:r>
    </w:p>
    <w:p>
      <w:pPr>
        <w:pStyle w:val="插入文本样式-插入预算公开部门职责文件"/>
      </w:pPr>
      <w:r>
        <w:t xml:space="preserve">三是整合财力原则。加大资金整合力度，统筹政府各类可用资金，打破资金壁垒，对资金使用散碎，形不成合力，以及重复建设的支出进行整合，集中财力办大事。</w:t>
      </w:r>
    </w:p>
    <w:p>
      <w:pPr>
        <w:pStyle w:val="插入文本样式-插入预算公开部门职责文件"/>
      </w:pPr>
      <w:r>
        <w:t xml:space="preserve">四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pPr>
        <w:pStyle w:val="插入文本样式-插入预算公开部门职责文件"/>
      </w:pPr>
      <w:r>
        <w:t xml:space="preserve">五是绩效导向原则。把资金安排与使用绩效相结合，所有发展性支出项目都制定明确的绩效目标，实行财政资金全程绩效监控，科学引导财政资金的流向。</w:t>
      </w:r>
    </w:p>
    <w:p>
      <w:pPr>
        <w:pStyle w:val="插入文本样式-插入预算公开部门职责文件"/>
      </w:pPr>
      <w:r>
        <w:t xml:space="preserve">六是厉行节约原则。牢固树立过紧日子的思想，坚持勤俭办一切事业，严控“三公”经费和会议培训支出，严禁新建楼堂馆所，严控财政供养人员增长。</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深泽县白庄乡人民政府本级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按照预算管理有关规定，目前部门预算的编制实行综合预算管理，即全部收入和支出都反映在预算中。深泽县白庄乡人民政府机关及所属事业单位的收支包含在部门预算中。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708.09万元，其中：一般公共预算收入708.09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白庄乡人民政府年度部门预算中支出预算的总体情况。2026年支出预算708.09万元，其中基本支出708.09万元，包括人员经费637.64万元和日常公用经费70.45万元；项目支出0.00万元，主要为我单位人员经费637.64万元，主要用于人员工资福利发放及社会保险缴纳，机关运行经费共计安排70.45万元，主要用于日常维修、办公用房水电费、办公用房取暖费、 办公用房物业管理费等日常运行支出。；预计下年使用的单位资金结余0.00万元。委托业务费共计安排0.00万元，主要用于因技术原因确需对外委托的辅助性工作和确有必要对外委托开展咨询、评审、规划等工作。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708.09万元，较2025年预算增加1.23万元，其中：基本支出增加25.03万元，主要为涉军人员工资及社会保险支出，并入人员经费中，当年新增调入人员增加项目支出减少23.80万元，主要为此项目为涉军人员工资及社会保险支出，并入人员经费中。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2026年，我部门机关运行经费共计安排70.45万元，主要用于日常维修、办公用房水电费、办公用房取暖费、办公用房物业管理费等日常运行支出。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厉行节约原则，牢固树立过紧日子的思想，坚持勤俭办一切事业，严控“三公”经费和会议培训支出。</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6"/>
            </w:pPr>
            <w:r>
              <w:t xml:space="preserve">深泽县白庄乡人民政府本级小计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45.25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深泽县白庄乡人民政府（含所属单位）上年末固定资产金额为470000.00万元（详见下表）。本年度拟购置固定资产总额为0.00万元，已按要求列入政府采购预算，详见政府采购预算表。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904深泽县白庄乡人民政府</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470000.00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500</w:t>
            </w:r>
          </w:p>
        </w:tc>
        <w:tc>
          <w:tcPr>
            <w:tcW w:w="2835" w:type="dxa"/>
            <w:vAlign w:val="center"/>
          </w:tcPr>
          <w:p>
            <w:pPr>
              <w:pStyle w:val="单元格样式4"/>
            </w:pPr>
            <w:r>
              <w:t xml:space="preserve">350000.00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500</w:t>
            </w:r>
          </w:p>
        </w:tc>
        <w:tc>
          <w:tcPr>
            <w:tcW w:w="2835" w:type="dxa"/>
            <w:vAlign w:val="center"/>
          </w:tcPr>
          <w:p>
            <w:pPr>
              <w:pStyle w:val="单元格样式4"/>
            </w:pPr>
            <w:r>
              <w:t xml:space="preserve">350000.00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2026-02-10T16:06:16Z</dcterms:created>
  <dcterms:modified xsi:type="dcterms:W3CDTF">2026-02-10T16:06:16Z</dcterms:modified>
</cp:coreProperties>
</file>