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一、深泽县科学技术和工业信息化局本级收支预算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一、深泽县科学技术和工业信息化局本级收支预算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2107.07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65.00</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564.87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1695.92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2172.07</w:t>
            </w:r>
          </w:p>
        </w:tc>
        <w:tc>
          <w:tcPr>
            <w:tcW w:w="4535" w:type="dxa"/>
            <w:vAlign w:val="center"/>
          </w:tcPr>
          <w:p>
            <w:pPr>
              <w:pStyle w:val="14"/>
            </w:pPr>
            <w:r>
              <w:t>本年支出合计</w:t>
            </w:r>
          </w:p>
        </w:tc>
        <w:tc>
          <w:tcPr>
            <w:tcW w:w="2126" w:type="dxa"/>
            <w:vAlign w:val="center"/>
          </w:tcPr>
          <w:p>
            <w:pPr>
              <w:pStyle w:val="15"/>
            </w:pPr>
            <w:r>
              <w:t>2325.79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153.72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2325.79</w:t>
            </w:r>
          </w:p>
        </w:tc>
        <w:tc>
          <w:tcPr>
            <w:tcW w:w="4535" w:type="dxa"/>
            <w:vAlign w:val="center"/>
          </w:tcPr>
          <w:p>
            <w:pPr>
              <w:pStyle w:val="14"/>
            </w:pPr>
            <w:r>
              <w:t>支出总计</w:t>
            </w:r>
          </w:p>
        </w:tc>
        <w:tc>
          <w:tcPr>
            <w:tcW w:w="2126" w:type="dxa"/>
            <w:vAlign w:val="center"/>
          </w:tcPr>
          <w:p>
            <w:pPr>
              <w:pStyle w:val="15"/>
            </w:pPr>
            <w:r>
              <w:t>2325.79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2325.79</w:t>
            </w:r>
          </w:p>
        </w:tc>
        <w:tc>
          <w:tcPr>
            <w:tcW w:w="1134" w:type="dxa"/>
            <w:vAlign w:val="center"/>
          </w:tcPr>
          <w:p>
            <w:pPr>
              <w:pStyle w:val="15"/>
            </w:pPr>
            <w:r>
              <w:t>2172.07</w:t>
            </w:r>
          </w:p>
        </w:tc>
        <w:tc>
          <w:tcPr>
            <w:tcW w:w="1134" w:type="dxa"/>
            <w:vAlign w:val="center"/>
          </w:tcPr>
          <w:p>
            <w:pPr>
              <w:pStyle w:val="15"/>
            </w:pPr>
            <w:r>
              <w:t>2172.07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564.87</w:t>
            </w:r>
          </w:p>
        </w:tc>
        <w:tc>
          <w:tcPr>
            <w:tcW w:w="1134" w:type="dxa"/>
            <w:vAlign w:val="center"/>
          </w:tcPr>
          <w:p>
            <w:pPr>
              <w:pStyle w:val="11"/>
            </w:pPr>
            <w:r>
              <w:t>432.07</w:t>
            </w:r>
          </w:p>
        </w:tc>
        <w:tc>
          <w:tcPr>
            <w:tcW w:w="1134" w:type="dxa"/>
            <w:vAlign w:val="center"/>
          </w:tcPr>
          <w:p>
            <w:pPr>
              <w:pStyle w:val="11"/>
            </w:pPr>
            <w:r>
              <w:t>432.07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20601</w:t>
            </w:r>
          </w:p>
        </w:tc>
        <w:tc>
          <w:tcPr>
            <w:tcW w:w="1559" w:type="dxa"/>
            <w:vAlign w:val="center"/>
          </w:tcPr>
          <w:p>
            <w:pPr>
              <w:pStyle w:val="12"/>
            </w:pPr>
            <w:r>
              <w:t>科学技术管理事务</w:t>
            </w:r>
          </w:p>
        </w:tc>
        <w:tc>
          <w:tcPr>
            <w:tcW w:w="1134" w:type="dxa"/>
            <w:vAlign w:val="center"/>
          </w:tcPr>
          <w:p>
            <w:pPr>
              <w:pStyle w:val="11"/>
            </w:pPr>
            <w:r>
              <w:t>403.75</w:t>
            </w:r>
          </w:p>
        </w:tc>
        <w:tc>
          <w:tcPr>
            <w:tcW w:w="1134" w:type="dxa"/>
            <w:vAlign w:val="center"/>
          </w:tcPr>
          <w:p>
            <w:pPr>
              <w:pStyle w:val="11"/>
            </w:pPr>
            <w:r>
              <w:t>403.75</w:t>
            </w:r>
          </w:p>
        </w:tc>
        <w:tc>
          <w:tcPr>
            <w:tcW w:w="1134" w:type="dxa"/>
            <w:vAlign w:val="center"/>
          </w:tcPr>
          <w:p>
            <w:pPr>
              <w:pStyle w:val="11"/>
            </w:pPr>
            <w:r>
              <w:t>403.75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2060101</w:t>
            </w:r>
          </w:p>
        </w:tc>
        <w:tc>
          <w:tcPr>
            <w:tcW w:w="1559" w:type="dxa"/>
            <w:vAlign w:val="center"/>
          </w:tcPr>
          <w:p>
            <w:pPr>
              <w:pStyle w:val="12"/>
            </w:pPr>
            <w:r>
              <w:t>行政运行</w:t>
            </w:r>
          </w:p>
        </w:tc>
        <w:tc>
          <w:tcPr>
            <w:tcW w:w="1134" w:type="dxa"/>
            <w:vAlign w:val="center"/>
          </w:tcPr>
          <w:p>
            <w:pPr>
              <w:pStyle w:val="11"/>
            </w:pPr>
            <w:r>
              <w:t>403.75</w:t>
            </w:r>
          </w:p>
        </w:tc>
        <w:tc>
          <w:tcPr>
            <w:tcW w:w="1134" w:type="dxa"/>
            <w:vAlign w:val="center"/>
          </w:tcPr>
          <w:p>
            <w:pPr>
              <w:pStyle w:val="11"/>
            </w:pPr>
            <w:r>
              <w:t>403.75</w:t>
            </w:r>
          </w:p>
        </w:tc>
        <w:tc>
          <w:tcPr>
            <w:tcW w:w="1134" w:type="dxa"/>
            <w:vAlign w:val="center"/>
          </w:tcPr>
          <w:p>
            <w:pPr>
              <w:pStyle w:val="11"/>
            </w:pPr>
            <w:r>
              <w:t>403.75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10.32</w:t>
            </w:r>
          </w:p>
        </w:tc>
        <w:tc>
          <w:tcPr>
            <w:tcW w:w="1134" w:type="dxa"/>
            <w:vAlign w:val="center"/>
          </w:tcPr>
          <w:p>
            <w:pPr>
              <w:pStyle w:val="11"/>
            </w:pPr>
            <w:r>
              <w:t>10.32</w:t>
            </w:r>
          </w:p>
        </w:tc>
        <w:tc>
          <w:tcPr>
            <w:tcW w:w="1134" w:type="dxa"/>
            <w:vAlign w:val="center"/>
          </w:tcPr>
          <w:p>
            <w:pPr>
              <w:pStyle w:val="11"/>
            </w:pPr>
            <w:r>
              <w:t>10.32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2060499</w:t>
            </w:r>
          </w:p>
        </w:tc>
        <w:tc>
          <w:tcPr>
            <w:tcW w:w="1559" w:type="dxa"/>
            <w:vAlign w:val="center"/>
          </w:tcPr>
          <w:p>
            <w:pPr>
              <w:pStyle w:val="12"/>
            </w:pPr>
            <w:r>
              <w:t>其他技术研究与开发支出</w:t>
            </w:r>
          </w:p>
        </w:tc>
        <w:tc>
          <w:tcPr>
            <w:tcW w:w="1134" w:type="dxa"/>
            <w:vAlign w:val="center"/>
          </w:tcPr>
          <w:p>
            <w:pPr>
              <w:pStyle w:val="11"/>
            </w:pPr>
            <w:r>
              <w:t>10.32</w:t>
            </w:r>
          </w:p>
        </w:tc>
        <w:tc>
          <w:tcPr>
            <w:tcW w:w="1134" w:type="dxa"/>
            <w:vAlign w:val="center"/>
          </w:tcPr>
          <w:p>
            <w:pPr>
              <w:pStyle w:val="11"/>
            </w:pPr>
            <w:r>
              <w:t>10.32</w:t>
            </w:r>
          </w:p>
        </w:tc>
        <w:tc>
          <w:tcPr>
            <w:tcW w:w="1134" w:type="dxa"/>
            <w:vAlign w:val="center"/>
          </w:tcPr>
          <w:p>
            <w:pPr>
              <w:pStyle w:val="11"/>
            </w:pPr>
            <w:r>
              <w:t>10.32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142.80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142.80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1695.92</w:t>
            </w:r>
          </w:p>
        </w:tc>
        <w:tc>
          <w:tcPr>
            <w:tcW w:w="1134" w:type="dxa"/>
            <w:vAlign w:val="center"/>
          </w:tcPr>
          <w:p>
            <w:pPr>
              <w:pStyle w:val="11"/>
            </w:pPr>
            <w:r>
              <w:t>1675.00</w:t>
            </w:r>
          </w:p>
        </w:tc>
        <w:tc>
          <w:tcPr>
            <w:tcW w:w="1134" w:type="dxa"/>
            <w:vAlign w:val="center"/>
          </w:tcPr>
          <w:p>
            <w:pPr>
              <w:pStyle w:val="11"/>
            </w:pPr>
            <w:r>
              <w:t>1675.00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21502</w:t>
            </w:r>
          </w:p>
        </w:tc>
        <w:tc>
          <w:tcPr>
            <w:tcW w:w="1559" w:type="dxa"/>
            <w:vAlign w:val="center"/>
          </w:tcPr>
          <w:p>
            <w:pPr>
              <w:pStyle w:val="12"/>
            </w:pPr>
            <w:r>
              <w:t>制造业</w:t>
            </w:r>
          </w:p>
        </w:tc>
        <w:tc>
          <w:tcPr>
            <w:tcW w:w="1134" w:type="dxa"/>
            <w:vAlign w:val="center"/>
          </w:tcPr>
          <w:p>
            <w:pPr>
              <w:pStyle w:val="11"/>
            </w:pPr>
            <w:r>
              <w:t>1575.00</w:t>
            </w:r>
          </w:p>
        </w:tc>
        <w:tc>
          <w:tcPr>
            <w:tcW w:w="1134" w:type="dxa"/>
            <w:vAlign w:val="center"/>
          </w:tcPr>
          <w:p>
            <w:pPr>
              <w:pStyle w:val="11"/>
            </w:pPr>
            <w:r>
              <w:t>1575.00</w:t>
            </w:r>
          </w:p>
        </w:tc>
        <w:tc>
          <w:tcPr>
            <w:tcW w:w="1134" w:type="dxa"/>
            <w:vAlign w:val="center"/>
          </w:tcPr>
          <w:p>
            <w:pPr>
              <w:pStyle w:val="11"/>
            </w:pPr>
            <w:r>
              <w:t>1575.00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2150299</w:t>
            </w:r>
          </w:p>
        </w:tc>
        <w:tc>
          <w:tcPr>
            <w:tcW w:w="1559" w:type="dxa"/>
            <w:vAlign w:val="center"/>
          </w:tcPr>
          <w:p>
            <w:pPr>
              <w:pStyle w:val="12"/>
            </w:pPr>
            <w:r>
              <w:t>其他制造业支出</w:t>
            </w:r>
          </w:p>
        </w:tc>
        <w:tc>
          <w:tcPr>
            <w:tcW w:w="1134" w:type="dxa"/>
            <w:vAlign w:val="center"/>
          </w:tcPr>
          <w:p>
            <w:pPr>
              <w:pStyle w:val="11"/>
            </w:pPr>
            <w:r>
              <w:t>1575.00</w:t>
            </w:r>
          </w:p>
        </w:tc>
        <w:tc>
          <w:tcPr>
            <w:tcW w:w="1134" w:type="dxa"/>
            <w:vAlign w:val="center"/>
          </w:tcPr>
          <w:p>
            <w:pPr>
              <w:pStyle w:val="11"/>
            </w:pPr>
            <w:r>
              <w:t>1575.00</w:t>
            </w:r>
          </w:p>
        </w:tc>
        <w:tc>
          <w:tcPr>
            <w:tcW w:w="1134" w:type="dxa"/>
            <w:vAlign w:val="center"/>
          </w:tcPr>
          <w:p>
            <w:pPr>
              <w:pStyle w:val="11"/>
            </w:pPr>
            <w:r>
              <w:t>1575.00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21508</w:t>
            </w:r>
          </w:p>
        </w:tc>
        <w:tc>
          <w:tcPr>
            <w:tcW w:w="1559" w:type="dxa"/>
            <w:vAlign w:val="center"/>
          </w:tcPr>
          <w:p>
            <w:pPr>
              <w:pStyle w:val="12"/>
            </w:pPr>
            <w:r>
              <w:t>支持中小企业发展和管理支出</w:t>
            </w:r>
          </w:p>
        </w:tc>
        <w:tc>
          <w:tcPr>
            <w:tcW w:w="1134" w:type="dxa"/>
            <w:vAlign w:val="center"/>
          </w:tcPr>
          <w:p>
            <w:pPr>
              <w:pStyle w:val="11"/>
            </w:pPr>
            <w:r>
              <w:t>120.92</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2150805</w:t>
            </w:r>
          </w:p>
        </w:tc>
        <w:tc>
          <w:tcPr>
            <w:tcW w:w="1559" w:type="dxa"/>
            <w:vAlign w:val="center"/>
          </w:tcPr>
          <w:p>
            <w:pPr>
              <w:pStyle w:val="12"/>
            </w:pPr>
            <w:r>
              <w:t>中小企业发展专项</w:t>
            </w:r>
          </w:p>
        </w:tc>
        <w:tc>
          <w:tcPr>
            <w:tcW w:w="1134" w:type="dxa"/>
            <w:vAlign w:val="center"/>
          </w:tcPr>
          <w:p>
            <w:pPr>
              <w:pStyle w:val="11"/>
            </w:pPr>
            <w:r>
              <w:t>120.92</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2325.79</w:t>
            </w:r>
          </w:p>
        </w:tc>
        <w:tc>
          <w:tcPr>
            <w:tcW w:w="1361" w:type="dxa"/>
            <w:vAlign w:val="center"/>
          </w:tcPr>
          <w:p>
            <w:pPr>
              <w:pStyle w:val="15"/>
            </w:pPr>
            <w:r>
              <w:t>403.75</w:t>
            </w:r>
          </w:p>
        </w:tc>
        <w:tc>
          <w:tcPr>
            <w:tcW w:w="1361" w:type="dxa"/>
            <w:vAlign w:val="center"/>
          </w:tcPr>
          <w:p>
            <w:pPr>
              <w:pStyle w:val="15"/>
            </w:pPr>
            <w:r>
              <w:t>1922.04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564.87</w:t>
            </w:r>
          </w:p>
        </w:tc>
        <w:tc>
          <w:tcPr>
            <w:tcW w:w="1361" w:type="dxa"/>
            <w:vAlign w:val="center"/>
          </w:tcPr>
          <w:p>
            <w:pPr>
              <w:pStyle w:val="11"/>
            </w:pPr>
            <w:r>
              <w:t>403.75</w:t>
            </w:r>
          </w:p>
        </w:tc>
        <w:tc>
          <w:tcPr>
            <w:tcW w:w="1361" w:type="dxa"/>
            <w:vAlign w:val="center"/>
          </w:tcPr>
          <w:p>
            <w:pPr>
              <w:pStyle w:val="11"/>
            </w:pPr>
            <w:r>
              <w:t>161.12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20601</w:t>
            </w:r>
          </w:p>
        </w:tc>
        <w:tc>
          <w:tcPr>
            <w:tcW w:w="4535" w:type="dxa"/>
            <w:vAlign w:val="center"/>
          </w:tcPr>
          <w:p>
            <w:pPr>
              <w:pStyle w:val="12"/>
            </w:pPr>
            <w:r>
              <w:t>科学技术管理事务</w:t>
            </w:r>
          </w:p>
        </w:tc>
        <w:tc>
          <w:tcPr>
            <w:tcW w:w="1361" w:type="dxa"/>
            <w:vAlign w:val="center"/>
          </w:tcPr>
          <w:p>
            <w:pPr>
              <w:pStyle w:val="11"/>
            </w:pPr>
            <w:r>
              <w:t>403.75</w:t>
            </w:r>
          </w:p>
        </w:tc>
        <w:tc>
          <w:tcPr>
            <w:tcW w:w="1361" w:type="dxa"/>
            <w:vAlign w:val="center"/>
          </w:tcPr>
          <w:p>
            <w:pPr>
              <w:pStyle w:val="11"/>
            </w:pPr>
            <w:r>
              <w:t>403.75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2060101</w:t>
            </w:r>
          </w:p>
        </w:tc>
        <w:tc>
          <w:tcPr>
            <w:tcW w:w="4535" w:type="dxa"/>
            <w:vAlign w:val="center"/>
          </w:tcPr>
          <w:p>
            <w:pPr>
              <w:pStyle w:val="12"/>
            </w:pPr>
            <w:r>
              <w:t>行政运行</w:t>
            </w:r>
          </w:p>
        </w:tc>
        <w:tc>
          <w:tcPr>
            <w:tcW w:w="1361" w:type="dxa"/>
            <w:vAlign w:val="center"/>
          </w:tcPr>
          <w:p>
            <w:pPr>
              <w:pStyle w:val="11"/>
            </w:pPr>
            <w:r>
              <w:t>403.75</w:t>
            </w:r>
          </w:p>
        </w:tc>
        <w:tc>
          <w:tcPr>
            <w:tcW w:w="1361" w:type="dxa"/>
            <w:vAlign w:val="center"/>
          </w:tcPr>
          <w:p>
            <w:pPr>
              <w:pStyle w:val="11"/>
            </w:pPr>
            <w:r>
              <w:t>403.75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10.32</w:t>
            </w:r>
          </w:p>
        </w:tc>
        <w:tc>
          <w:tcPr>
            <w:tcW w:w="1361" w:type="dxa"/>
            <w:vAlign w:val="center"/>
          </w:tcPr>
          <w:p>
            <w:pPr>
              <w:pStyle w:val="11"/>
            </w:pPr>
          </w:p>
        </w:tc>
        <w:tc>
          <w:tcPr>
            <w:tcW w:w="1361" w:type="dxa"/>
            <w:vAlign w:val="center"/>
          </w:tcPr>
          <w:p>
            <w:pPr>
              <w:pStyle w:val="11"/>
            </w:pPr>
            <w:r>
              <w:t>10.32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2060499</w:t>
            </w:r>
          </w:p>
        </w:tc>
        <w:tc>
          <w:tcPr>
            <w:tcW w:w="4535" w:type="dxa"/>
            <w:vAlign w:val="center"/>
          </w:tcPr>
          <w:p>
            <w:pPr>
              <w:pStyle w:val="12"/>
            </w:pPr>
            <w:r>
              <w:t>其他技术研究与开发支出</w:t>
            </w:r>
          </w:p>
        </w:tc>
        <w:tc>
          <w:tcPr>
            <w:tcW w:w="1361" w:type="dxa"/>
            <w:vAlign w:val="center"/>
          </w:tcPr>
          <w:p>
            <w:pPr>
              <w:pStyle w:val="11"/>
            </w:pPr>
            <w:r>
              <w:t>10.32</w:t>
            </w:r>
          </w:p>
        </w:tc>
        <w:tc>
          <w:tcPr>
            <w:tcW w:w="1361" w:type="dxa"/>
            <w:vAlign w:val="center"/>
          </w:tcPr>
          <w:p>
            <w:pPr>
              <w:pStyle w:val="11"/>
            </w:pPr>
          </w:p>
        </w:tc>
        <w:tc>
          <w:tcPr>
            <w:tcW w:w="1361" w:type="dxa"/>
            <w:vAlign w:val="center"/>
          </w:tcPr>
          <w:p>
            <w:pPr>
              <w:pStyle w:val="11"/>
            </w:pPr>
            <w:r>
              <w:t>10.32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142.80</w:t>
            </w:r>
          </w:p>
        </w:tc>
        <w:tc>
          <w:tcPr>
            <w:tcW w:w="1361" w:type="dxa"/>
            <w:vAlign w:val="center"/>
          </w:tcPr>
          <w:p>
            <w:pPr>
              <w:pStyle w:val="11"/>
            </w:pPr>
          </w:p>
        </w:tc>
        <w:tc>
          <w:tcPr>
            <w:tcW w:w="1361" w:type="dxa"/>
            <w:vAlign w:val="center"/>
          </w:tcPr>
          <w:p>
            <w:pPr>
              <w:pStyle w:val="11"/>
            </w:pPr>
            <w:r>
              <w:t>142.80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142.80</w:t>
            </w:r>
          </w:p>
        </w:tc>
        <w:tc>
          <w:tcPr>
            <w:tcW w:w="1361" w:type="dxa"/>
            <w:vAlign w:val="center"/>
          </w:tcPr>
          <w:p>
            <w:pPr>
              <w:pStyle w:val="11"/>
            </w:pPr>
          </w:p>
        </w:tc>
        <w:tc>
          <w:tcPr>
            <w:tcW w:w="1361" w:type="dxa"/>
            <w:vAlign w:val="center"/>
          </w:tcPr>
          <w:p>
            <w:pPr>
              <w:pStyle w:val="11"/>
            </w:pPr>
            <w:r>
              <w:t>142.80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1695.92</w:t>
            </w:r>
          </w:p>
        </w:tc>
        <w:tc>
          <w:tcPr>
            <w:tcW w:w="1361" w:type="dxa"/>
            <w:vAlign w:val="center"/>
          </w:tcPr>
          <w:p>
            <w:pPr>
              <w:pStyle w:val="11"/>
            </w:pPr>
          </w:p>
        </w:tc>
        <w:tc>
          <w:tcPr>
            <w:tcW w:w="1361" w:type="dxa"/>
            <w:vAlign w:val="center"/>
          </w:tcPr>
          <w:p>
            <w:pPr>
              <w:pStyle w:val="11"/>
            </w:pPr>
            <w:r>
              <w:t>1695.92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21502</w:t>
            </w:r>
          </w:p>
        </w:tc>
        <w:tc>
          <w:tcPr>
            <w:tcW w:w="4535" w:type="dxa"/>
            <w:vAlign w:val="center"/>
          </w:tcPr>
          <w:p>
            <w:pPr>
              <w:pStyle w:val="12"/>
            </w:pPr>
            <w:r>
              <w:t>制造业</w:t>
            </w:r>
          </w:p>
        </w:tc>
        <w:tc>
          <w:tcPr>
            <w:tcW w:w="1361" w:type="dxa"/>
            <w:vAlign w:val="center"/>
          </w:tcPr>
          <w:p>
            <w:pPr>
              <w:pStyle w:val="11"/>
            </w:pPr>
            <w:r>
              <w:t>1575.00</w:t>
            </w:r>
          </w:p>
        </w:tc>
        <w:tc>
          <w:tcPr>
            <w:tcW w:w="1361" w:type="dxa"/>
            <w:vAlign w:val="center"/>
          </w:tcPr>
          <w:p>
            <w:pPr>
              <w:pStyle w:val="11"/>
            </w:pPr>
          </w:p>
        </w:tc>
        <w:tc>
          <w:tcPr>
            <w:tcW w:w="1361" w:type="dxa"/>
            <w:vAlign w:val="center"/>
          </w:tcPr>
          <w:p>
            <w:pPr>
              <w:pStyle w:val="11"/>
            </w:pPr>
            <w:r>
              <w:t>1575.00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2150299</w:t>
            </w:r>
          </w:p>
        </w:tc>
        <w:tc>
          <w:tcPr>
            <w:tcW w:w="4535" w:type="dxa"/>
            <w:vAlign w:val="center"/>
          </w:tcPr>
          <w:p>
            <w:pPr>
              <w:pStyle w:val="12"/>
            </w:pPr>
            <w:r>
              <w:t>其他制造业支出</w:t>
            </w:r>
          </w:p>
        </w:tc>
        <w:tc>
          <w:tcPr>
            <w:tcW w:w="1361" w:type="dxa"/>
            <w:vAlign w:val="center"/>
          </w:tcPr>
          <w:p>
            <w:pPr>
              <w:pStyle w:val="11"/>
            </w:pPr>
            <w:r>
              <w:t>1575.00</w:t>
            </w:r>
          </w:p>
        </w:tc>
        <w:tc>
          <w:tcPr>
            <w:tcW w:w="1361" w:type="dxa"/>
            <w:vAlign w:val="center"/>
          </w:tcPr>
          <w:p>
            <w:pPr>
              <w:pStyle w:val="11"/>
            </w:pPr>
          </w:p>
        </w:tc>
        <w:tc>
          <w:tcPr>
            <w:tcW w:w="1361" w:type="dxa"/>
            <w:vAlign w:val="center"/>
          </w:tcPr>
          <w:p>
            <w:pPr>
              <w:pStyle w:val="11"/>
            </w:pPr>
            <w:r>
              <w:t>1575.00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21508</w:t>
            </w:r>
          </w:p>
        </w:tc>
        <w:tc>
          <w:tcPr>
            <w:tcW w:w="4535" w:type="dxa"/>
            <w:vAlign w:val="center"/>
          </w:tcPr>
          <w:p>
            <w:pPr>
              <w:pStyle w:val="12"/>
            </w:pPr>
            <w:r>
              <w:t>支持中小企业发展和管理支出</w:t>
            </w:r>
          </w:p>
        </w:tc>
        <w:tc>
          <w:tcPr>
            <w:tcW w:w="1361" w:type="dxa"/>
            <w:vAlign w:val="center"/>
          </w:tcPr>
          <w:p>
            <w:pPr>
              <w:pStyle w:val="11"/>
            </w:pPr>
            <w:r>
              <w:t>120.92</w:t>
            </w:r>
          </w:p>
        </w:tc>
        <w:tc>
          <w:tcPr>
            <w:tcW w:w="1361" w:type="dxa"/>
            <w:vAlign w:val="center"/>
          </w:tcPr>
          <w:p>
            <w:pPr>
              <w:pStyle w:val="11"/>
            </w:pPr>
          </w:p>
        </w:tc>
        <w:tc>
          <w:tcPr>
            <w:tcW w:w="1361" w:type="dxa"/>
            <w:vAlign w:val="center"/>
          </w:tcPr>
          <w:p>
            <w:pPr>
              <w:pStyle w:val="11"/>
            </w:pPr>
            <w:r>
              <w:t>120.92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2150805</w:t>
            </w:r>
          </w:p>
        </w:tc>
        <w:tc>
          <w:tcPr>
            <w:tcW w:w="4535" w:type="dxa"/>
            <w:vAlign w:val="center"/>
          </w:tcPr>
          <w:p>
            <w:pPr>
              <w:pStyle w:val="12"/>
            </w:pPr>
            <w:r>
              <w:t>中小企业发展专项</w:t>
            </w:r>
          </w:p>
        </w:tc>
        <w:tc>
          <w:tcPr>
            <w:tcW w:w="1361" w:type="dxa"/>
            <w:vAlign w:val="center"/>
          </w:tcPr>
          <w:p>
            <w:pPr>
              <w:pStyle w:val="11"/>
            </w:pPr>
            <w:r>
              <w:t>120.92</w:t>
            </w:r>
          </w:p>
        </w:tc>
        <w:tc>
          <w:tcPr>
            <w:tcW w:w="1361" w:type="dxa"/>
            <w:vAlign w:val="center"/>
          </w:tcPr>
          <w:p>
            <w:pPr>
              <w:pStyle w:val="11"/>
            </w:pPr>
          </w:p>
        </w:tc>
        <w:tc>
          <w:tcPr>
            <w:tcW w:w="1361" w:type="dxa"/>
            <w:vAlign w:val="center"/>
          </w:tcPr>
          <w:p>
            <w:pPr>
              <w:pStyle w:val="11"/>
            </w:pPr>
            <w:r>
              <w:t>120.92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2107.07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65.00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564.87</w:t>
            </w:r>
          </w:p>
        </w:tc>
        <w:tc>
          <w:tcPr>
            <w:tcW w:w="1474" w:type="dxa"/>
            <w:vAlign w:val="center"/>
          </w:tcPr>
          <w:p>
            <w:pPr>
              <w:pStyle w:val="11"/>
            </w:pPr>
            <w:r>
              <w:t>564.87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1695.92</w:t>
            </w:r>
          </w:p>
        </w:tc>
        <w:tc>
          <w:tcPr>
            <w:tcW w:w="1474" w:type="dxa"/>
            <w:vAlign w:val="center"/>
          </w:tcPr>
          <w:p>
            <w:pPr>
              <w:pStyle w:val="11"/>
            </w:pPr>
            <w:r>
              <w:t>1695.92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65.00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2172.07</w:t>
            </w:r>
          </w:p>
        </w:tc>
        <w:tc>
          <w:tcPr>
            <w:tcW w:w="3402" w:type="dxa"/>
            <w:vAlign w:val="center"/>
          </w:tcPr>
          <w:p>
            <w:pPr>
              <w:pStyle w:val="14"/>
            </w:pPr>
            <w:r>
              <w:t>本年支出合计</w:t>
            </w:r>
          </w:p>
        </w:tc>
        <w:tc>
          <w:tcPr>
            <w:tcW w:w="1474" w:type="dxa"/>
            <w:vAlign w:val="center"/>
          </w:tcPr>
          <w:p>
            <w:pPr>
              <w:pStyle w:val="15"/>
            </w:pPr>
            <w:r>
              <w:t>2325.79</w:t>
            </w:r>
          </w:p>
        </w:tc>
        <w:tc>
          <w:tcPr>
            <w:tcW w:w="1474" w:type="dxa"/>
            <w:vAlign w:val="center"/>
          </w:tcPr>
          <w:p>
            <w:pPr>
              <w:pStyle w:val="15"/>
            </w:pPr>
            <w:r>
              <w:t>2260.79</w:t>
            </w:r>
          </w:p>
        </w:tc>
        <w:tc>
          <w:tcPr>
            <w:tcW w:w="1474" w:type="dxa"/>
            <w:vAlign w:val="center"/>
          </w:tcPr>
          <w:p>
            <w:pPr>
              <w:pStyle w:val="15"/>
            </w:pPr>
          </w:p>
        </w:tc>
        <w:tc>
          <w:tcPr>
            <w:tcW w:w="1474"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153.72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153.72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2325.79</w:t>
            </w:r>
          </w:p>
        </w:tc>
        <w:tc>
          <w:tcPr>
            <w:tcW w:w="3402" w:type="dxa"/>
            <w:vAlign w:val="center"/>
          </w:tcPr>
          <w:p>
            <w:pPr>
              <w:pStyle w:val="14"/>
            </w:pPr>
            <w:r>
              <w:t>支出总计</w:t>
            </w:r>
          </w:p>
        </w:tc>
        <w:tc>
          <w:tcPr>
            <w:tcW w:w="1474" w:type="dxa"/>
            <w:vAlign w:val="center"/>
          </w:tcPr>
          <w:p>
            <w:pPr>
              <w:pStyle w:val="15"/>
            </w:pPr>
            <w:r>
              <w:t>2325.79</w:t>
            </w:r>
          </w:p>
        </w:tc>
        <w:tc>
          <w:tcPr>
            <w:tcW w:w="1474" w:type="dxa"/>
            <w:vAlign w:val="center"/>
          </w:tcPr>
          <w:p>
            <w:pPr>
              <w:pStyle w:val="15"/>
            </w:pPr>
            <w:r>
              <w:t>2260.79</w:t>
            </w:r>
          </w:p>
        </w:tc>
        <w:tc>
          <w:tcPr>
            <w:tcW w:w="1474" w:type="dxa"/>
            <w:vAlign w:val="center"/>
          </w:tcPr>
          <w:p>
            <w:pPr>
              <w:pStyle w:val="15"/>
            </w:pPr>
          </w:p>
        </w:tc>
        <w:tc>
          <w:tcPr>
            <w:tcW w:w="1474" w:type="dxa"/>
            <w:vAlign w:val="center"/>
          </w:tcPr>
          <w:p>
            <w:pPr>
              <w:pStyle w:val="15"/>
            </w:pPr>
            <w:r>
              <w:t>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2260.79</w:t>
            </w:r>
          </w:p>
        </w:tc>
        <w:tc>
          <w:tcPr>
            <w:tcW w:w="2551" w:type="dxa"/>
            <w:vAlign w:val="center"/>
          </w:tcPr>
          <w:p>
            <w:pPr>
              <w:pStyle w:val="15"/>
            </w:pPr>
            <w:r>
              <w:t>403.75</w:t>
            </w:r>
          </w:p>
        </w:tc>
        <w:tc>
          <w:tcPr>
            <w:tcW w:w="2551" w:type="dxa"/>
            <w:vAlign w:val="center"/>
          </w:tcPr>
          <w:p>
            <w:pPr>
              <w:pStyle w:val="15"/>
            </w:pPr>
            <w:r>
              <w:t>1857.04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564.87</w:t>
            </w:r>
          </w:p>
        </w:tc>
        <w:tc>
          <w:tcPr>
            <w:tcW w:w="2551" w:type="dxa"/>
            <w:vAlign w:val="center"/>
          </w:tcPr>
          <w:p>
            <w:pPr>
              <w:pStyle w:val="11"/>
            </w:pPr>
            <w:r>
              <w:t>403.75</w:t>
            </w:r>
          </w:p>
        </w:tc>
        <w:tc>
          <w:tcPr>
            <w:tcW w:w="2551" w:type="dxa"/>
            <w:vAlign w:val="center"/>
          </w:tcPr>
          <w:p>
            <w:pPr>
              <w:pStyle w:val="11"/>
            </w:pPr>
            <w:r>
              <w:t>161.12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20601</w:t>
            </w:r>
          </w:p>
        </w:tc>
        <w:tc>
          <w:tcPr>
            <w:tcW w:w="4535" w:type="dxa"/>
            <w:vAlign w:val="center"/>
          </w:tcPr>
          <w:p>
            <w:pPr>
              <w:pStyle w:val="12"/>
            </w:pPr>
            <w:r>
              <w:t>科学技术管理事务</w:t>
            </w:r>
          </w:p>
        </w:tc>
        <w:tc>
          <w:tcPr>
            <w:tcW w:w="2551" w:type="dxa"/>
            <w:vAlign w:val="center"/>
          </w:tcPr>
          <w:p>
            <w:pPr>
              <w:pStyle w:val="11"/>
            </w:pPr>
            <w:r>
              <w:t>403.75</w:t>
            </w:r>
          </w:p>
        </w:tc>
        <w:tc>
          <w:tcPr>
            <w:tcW w:w="2551" w:type="dxa"/>
            <w:vAlign w:val="center"/>
          </w:tcPr>
          <w:p>
            <w:pPr>
              <w:pStyle w:val="11"/>
            </w:pPr>
            <w:r>
              <w:t>403.75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2060101</w:t>
            </w:r>
          </w:p>
        </w:tc>
        <w:tc>
          <w:tcPr>
            <w:tcW w:w="4535" w:type="dxa"/>
            <w:vAlign w:val="center"/>
          </w:tcPr>
          <w:p>
            <w:pPr>
              <w:pStyle w:val="12"/>
            </w:pPr>
            <w:r>
              <w:t>行政运行</w:t>
            </w:r>
          </w:p>
        </w:tc>
        <w:tc>
          <w:tcPr>
            <w:tcW w:w="2551" w:type="dxa"/>
            <w:vAlign w:val="center"/>
          </w:tcPr>
          <w:p>
            <w:pPr>
              <w:pStyle w:val="11"/>
            </w:pPr>
            <w:r>
              <w:t>403.75</w:t>
            </w:r>
          </w:p>
        </w:tc>
        <w:tc>
          <w:tcPr>
            <w:tcW w:w="2551" w:type="dxa"/>
            <w:vAlign w:val="center"/>
          </w:tcPr>
          <w:p>
            <w:pPr>
              <w:pStyle w:val="11"/>
            </w:pPr>
            <w:r>
              <w:t>403.75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10.32</w:t>
            </w:r>
          </w:p>
        </w:tc>
        <w:tc>
          <w:tcPr>
            <w:tcW w:w="2551" w:type="dxa"/>
            <w:vAlign w:val="center"/>
          </w:tcPr>
          <w:p>
            <w:pPr>
              <w:pStyle w:val="11"/>
            </w:pPr>
          </w:p>
        </w:tc>
        <w:tc>
          <w:tcPr>
            <w:tcW w:w="2551" w:type="dxa"/>
            <w:vAlign w:val="center"/>
          </w:tcPr>
          <w:p>
            <w:pPr>
              <w:pStyle w:val="11"/>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2060499</w:t>
            </w:r>
          </w:p>
        </w:tc>
        <w:tc>
          <w:tcPr>
            <w:tcW w:w="4535" w:type="dxa"/>
            <w:vAlign w:val="center"/>
          </w:tcPr>
          <w:p>
            <w:pPr>
              <w:pStyle w:val="12"/>
            </w:pPr>
            <w:r>
              <w:t>其他技术研究与开发支出</w:t>
            </w:r>
          </w:p>
        </w:tc>
        <w:tc>
          <w:tcPr>
            <w:tcW w:w="2551" w:type="dxa"/>
            <w:vAlign w:val="center"/>
          </w:tcPr>
          <w:p>
            <w:pPr>
              <w:pStyle w:val="11"/>
            </w:pPr>
            <w:r>
              <w:t>10.32</w:t>
            </w:r>
          </w:p>
        </w:tc>
        <w:tc>
          <w:tcPr>
            <w:tcW w:w="2551" w:type="dxa"/>
            <w:vAlign w:val="center"/>
          </w:tcPr>
          <w:p>
            <w:pPr>
              <w:pStyle w:val="11"/>
            </w:pPr>
          </w:p>
        </w:tc>
        <w:tc>
          <w:tcPr>
            <w:tcW w:w="2551" w:type="dxa"/>
            <w:vAlign w:val="center"/>
          </w:tcPr>
          <w:p>
            <w:pPr>
              <w:pStyle w:val="11"/>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142.80</w:t>
            </w:r>
          </w:p>
        </w:tc>
        <w:tc>
          <w:tcPr>
            <w:tcW w:w="2551" w:type="dxa"/>
            <w:vAlign w:val="center"/>
          </w:tcPr>
          <w:p>
            <w:pPr>
              <w:pStyle w:val="11"/>
            </w:pPr>
          </w:p>
        </w:tc>
        <w:tc>
          <w:tcPr>
            <w:tcW w:w="2551" w:type="dxa"/>
            <w:vAlign w:val="center"/>
          </w:tcPr>
          <w:p>
            <w:pPr>
              <w:pStyle w:val="11"/>
            </w:pPr>
            <w:r>
              <w:t>142.80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142.80</w:t>
            </w:r>
          </w:p>
        </w:tc>
        <w:tc>
          <w:tcPr>
            <w:tcW w:w="2551" w:type="dxa"/>
            <w:vAlign w:val="center"/>
          </w:tcPr>
          <w:p>
            <w:pPr>
              <w:pStyle w:val="11"/>
            </w:pPr>
          </w:p>
        </w:tc>
        <w:tc>
          <w:tcPr>
            <w:tcW w:w="2551" w:type="dxa"/>
            <w:vAlign w:val="center"/>
          </w:tcPr>
          <w:p>
            <w:pPr>
              <w:pStyle w:val="11"/>
            </w:pPr>
            <w:r>
              <w:t>142.80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1695.92</w:t>
            </w:r>
          </w:p>
        </w:tc>
        <w:tc>
          <w:tcPr>
            <w:tcW w:w="2551" w:type="dxa"/>
            <w:vAlign w:val="center"/>
          </w:tcPr>
          <w:p>
            <w:pPr>
              <w:pStyle w:val="11"/>
            </w:pPr>
          </w:p>
        </w:tc>
        <w:tc>
          <w:tcPr>
            <w:tcW w:w="2551" w:type="dxa"/>
            <w:vAlign w:val="center"/>
          </w:tcPr>
          <w:p>
            <w:pPr>
              <w:pStyle w:val="11"/>
            </w:pPr>
            <w:r>
              <w:t>1695.92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21502</w:t>
            </w:r>
          </w:p>
        </w:tc>
        <w:tc>
          <w:tcPr>
            <w:tcW w:w="4535" w:type="dxa"/>
            <w:vAlign w:val="center"/>
          </w:tcPr>
          <w:p>
            <w:pPr>
              <w:pStyle w:val="12"/>
            </w:pPr>
            <w:r>
              <w:t>制造业</w:t>
            </w:r>
          </w:p>
        </w:tc>
        <w:tc>
          <w:tcPr>
            <w:tcW w:w="2551" w:type="dxa"/>
            <w:vAlign w:val="center"/>
          </w:tcPr>
          <w:p>
            <w:pPr>
              <w:pStyle w:val="11"/>
            </w:pPr>
            <w:r>
              <w:t>1575.00</w:t>
            </w:r>
          </w:p>
        </w:tc>
        <w:tc>
          <w:tcPr>
            <w:tcW w:w="2551" w:type="dxa"/>
            <w:vAlign w:val="center"/>
          </w:tcPr>
          <w:p>
            <w:pPr>
              <w:pStyle w:val="11"/>
            </w:pPr>
          </w:p>
        </w:tc>
        <w:tc>
          <w:tcPr>
            <w:tcW w:w="2551" w:type="dxa"/>
            <w:vAlign w:val="center"/>
          </w:tcPr>
          <w:p>
            <w:pPr>
              <w:pStyle w:val="11"/>
            </w:pPr>
            <w:r>
              <w:t>1575.00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2150299</w:t>
            </w:r>
          </w:p>
        </w:tc>
        <w:tc>
          <w:tcPr>
            <w:tcW w:w="4535" w:type="dxa"/>
            <w:vAlign w:val="center"/>
          </w:tcPr>
          <w:p>
            <w:pPr>
              <w:pStyle w:val="12"/>
            </w:pPr>
            <w:r>
              <w:t>其他制造业支出</w:t>
            </w:r>
          </w:p>
        </w:tc>
        <w:tc>
          <w:tcPr>
            <w:tcW w:w="2551" w:type="dxa"/>
            <w:vAlign w:val="center"/>
          </w:tcPr>
          <w:p>
            <w:pPr>
              <w:pStyle w:val="11"/>
            </w:pPr>
            <w:r>
              <w:t>1575.00</w:t>
            </w:r>
          </w:p>
        </w:tc>
        <w:tc>
          <w:tcPr>
            <w:tcW w:w="2551" w:type="dxa"/>
            <w:vAlign w:val="center"/>
          </w:tcPr>
          <w:p>
            <w:pPr>
              <w:pStyle w:val="11"/>
            </w:pPr>
          </w:p>
        </w:tc>
        <w:tc>
          <w:tcPr>
            <w:tcW w:w="2551" w:type="dxa"/>
            <w:vAlign w:val="center"/>
          </w:tcPr>
          <w:p>
            <w:pPr>
              <w:pStyle w:val="11"/>
            </w:pPr>
            <w:r>
              <w:t>1575.00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21508</w:t>
            </w:r>
          </w:p>
        </w:tc>
        <w:tc>
          <w:tcPr>
            <w:tcW w:w="4535" w:type="dxa"/>
            <w:vAlign w:val="center"/>
          </w:tcPr>
          <w:p>
            <w:pPr>
              <w:pStyle w:val="12"/>
            </w:pPr>
            <w:r>
              <w:t>支持中小企业发展和管理支出</w:t>
            </w:r>
          </w:p>
        </w:tc>
        <w:tc>
          <w:tcPr>
            <w:tcW w:w="2551" w:type="dxa"/>
            <w:vAlign w:val="center"/>
          </w:tcPr>
          <w:p>
            <w:pPr>
              <w:pStyle w:val="11"/>
            </w:pPr>
            <w:r>
              <w:t>120.92</w:t>
            </w:r>
          </w:p>
        </w:tc>
        <w:tc>
          <w:tcPr>
            <w:tcW w:w="2551" w:type="dxa"/>
            <w:vAlign w:val="center"/>
          </w:tcPr>
          <w:p>
            <w:pPr>
              <w:pStyle w:val="11"/>
            </w:pPr>
          </w:p>
        </w:tc>
        <w:tc>
          <w:tcPr>
            <w:tcW w:w="2551" w:type="dxa"/>
            <w:vAlign w:val="center"/>
          </w:tcPr>
          <w:p>
            <w:pPr>
              <w:pStyle w:val="11"/>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2150805</w:t>
            </w:r>
          </w:p>
        </w:tc>
        <w:tc>
          <w:tcPr>
            <w:tcW w:w="4535" w:type="dxa"/>
            <w:vAlign w:val="center"/>
          </w:tcPr>
          <w:p>
            <w:pPr>
              <w:pStyle w:val="12"/>
            </w:pPr>
            <w:r>
              <w:t>中小企业发展专项</w:t>
            </w:r>
          </w:p>
        </w:tc>
        <w:tc>
          <w:tcPr>
            <w:tcW w:w="2551" w:type="dxa"/>
            <w:vAlign w:val="center"/>
          </w:tcPr>
          <w:p>
            <w:pPr>
              <w:pStyle w:val="11"/>
            </w:pPr>
            <w:r>
              <w:t>120.92</w:t>
            </w:r>
          </w:p>
        </w:tc>
        <w:tc>
          <w:tcPr>
            <w:tcW w:w="2551" w:type="dxa"/>
            <w:vAlign w:val="center"/>
          </w:tcPr>
          <w:p>
            <w:pPr>
              <w:pStyle w:val="11"/>
            </w:pPr>
          </w:p>
        </w:tc>
        <w:tc>
          <w:tcPr>
            <w:tcW w:w="2551" w:type="dxa"/>
            <w:vAlign w:val="center"/>
          </w:tcPr>
          <w:p>
            <w:pPr>
              <w:pStyle w:val="11"/>
            </w:pPr>
            <w:r>
              <w:t>120.92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403.75</w:t>
            </w:r>
          </w:p>
        </w:tc>
        <w:tc>
          <w:tcPr>
            <w:tcW w:w="2551" w:type="dxa"/>
            <w:vAlign w:val="center"/>
          </w:tcPr>
          <w:p>
            <w:pPr>
              <w:pStyle w:val="15"/>
            </w:pPr>
            <w:r>
              <w:t>390.97</w:t>
            </w:r>
          </w:p>
        </w:tc>
        <w:tc>
          <w:tcPr>
            <w:tcW w:w="2551" w:type="dxa"/>
            <w:vAlign w:val="center"/>
          </w:tcPr>
          <w:p>
            <w:pPr>
              <w:pStyle w:val="15"/>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285.54</w:t>
            </w:r>
          </w:p>
        </w:tc>
        <w:tc>
          <w:tcPr>
            <w:tcW w:w="2551" w:type="dxa"/>
            <w:vAlign w:val="center"/>
          </w:tcPr>
          <w:p>
            <w:pPr>
              <w:pStyle w:val="11"/>
            </w:pPr>
            <w:r>
              <w:t>285.54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103.44</w:t>
            </w:r>
          </w:p>
        </w:tc>
        <w:tc>
          <w:tcPr>
            <w:tcW w:w="2551" w:type="dxa"/>
            <w:vAlign w:val="center"/>
          </w:tcPr>
          <w:p>
            <w:pPr>
              <w:pStyle w:val="11"/>
            </w:pPr>
            <w:r>
              <w:t>103.44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15.61</w:t>
            </w:r>
          </w:p>
        </w:tc>
        <w:tc>
          <w:tcPr>
            <w:tcW w:w="2551" w:type="dxa"/>
            <w:vAlign w:val="center"/>
          </w:tcPr>
          <w:p>
            <w:pPr>
              <w:pStyle w:val="11"/>
            </w:pPr>
            <w:r>
              <w:t>15.61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20.54</w:t>
            </w:r>
          </w:p>
        </w:tc>
        <w:tc>
          <w:tcPr>
            <w:tcW w:w="2551" w:type="dxa"/>
            <w:vAlign w:val="center"/>
          </w:tcPr>
          <w:p>
            <w:pPr>
              <w:pStyle w:val="11"/>
            </w:pPr>
            <w:r>
              <w:t>20.54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38.52</w:t>
            </w:r>
          </w:p>
        </w:tc>
        <w:tc>
          <w:tcPr>
            <w:tcW w:w="2551" w:type="dxa"/>
            <w:vAlign w:val="center"/>
          </w:tcPr>
          <w:p>
            <w:pPr>
              <w:pStyle w:val="11"/>
            </w:pPr>
            <w:r>
              <w:t>38.52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25.50</w:t>
            </w:r>
          </w:p>
        </w:tc>
        <w:tc>
          <w:tcPr>
            <w:tcW w:w="2551" w:type="dxa"/>
            <w:vAlign w:val="center"/>
          </w:tcPr>
          <w:p>
            <w:pPr>
              <w:pStyle w:val="11"/>
            </w:pPr>
            <w:r>
              <w:t>25.50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10.25</w:t>
            </w:r>
          </w:p>
        </w:tc>
        <w:tc>
          <w:tcPr>
            <w:tcW w:w="2551" w:type="dxa"/>
            <w:vAlign w:val="center"/>
          </w:tcPr>
          <w:p>
            <w:pPr>
              <w:pStyle w:val="11"/>
            </w:pPr>
            <w:r>
              <w:t>10.25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1.16</w:t>
            </w:r>
          </w:p>
        </w:tc>
        <w:tc>
          <w:tcPr>
            <w:tcW w:w="2551" w:type="dxa"/>
            <w:vAlign w:val="center"/>
          </w:tcPr>
          <w:p>
            <w:pPr>
              <w:pStyle w:val="11"/>
            </w:pPr>
            <w:r>
              <w:t>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20.57</w:t>
            </w:r>
          </w:p>
        </w:tc>
        <w:tc>
          <w:tcPr>
            <w:tcW w:w="2551" w:type="dxa"/>
            <w:vAlign w:val="center"/>
          </w:tcPr>
          <w:p>
            <w:pPr>
              <w:pStyle w:val="11"/>
            </w:pPr>
            <w:r>
              <w:t>20.57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49.95</w:t>
            </w:r>
          </w:p>
        </w:tc>
        <w:tc>
          <w:tcPr>
            <w:tcW w:w="2551" w:type="dxa"/>
            <w:vAlign w:val="center"/>
          </w:tcPr>
          <w:p>
            <w:pPr>
              <w:pStyle w:val="11"/>
            </w:pPr>
            <w:r>
              <w:t>49.95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12.78</w:t>
            </w:r>
          </w:p>
        </w:tc>
        <w:tc>
          <w:tcPr>
            <w:tcW w:w="2551" w:type="dxa"/>
            <w:vAlign w:val="center"/>
          </w:tcPr>
          <w:p>
            <w:pPr>
              <w:pStyle w:val="11"/>
            </w:pPr>
          </w:p>
        </w:tc>
        <w:tc>
          <w:tcPr>
            <w:tcW w:w="2551" w:type="dxa"/>
            <w:vAlign w:val="center"/>
          </w:tcPr>
          <w:p>
            <w:pPr>
              <w:pStyle w:val="11"/>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6.78</w:t>
            </w:r>
          </w:p>
        </w:tc>
        <w:tc>
          <w:tcPr>
            <w:tcW w:w="2551" w:type="dxa"/>
            <w:vAlign w:val="center"/>
          </w:tcPr>
          <w:p>
            <w:pPr>
              <w:pStyle w:val="11"/>
            </w:pPr>
          </w:p>
        </w:tc>
        <w:tc>
          <w:tcPr>
            <w:tcW w:w="2551" w:type="dxa"/>
            <w:vAlign w:val="center"/>
          </w:tcPr>
          <w:p>
            <w:pPr>
              <w:pStyle w:val="11"/>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105.43</w:t>
            </w:r>
          </w:p>
        </w:tc>
        <w:tc>
          <w:tcPr>
            <w:tcW w:w="2551" w:type="dxa"/>
            <w:vAlign w:val="center"/>
          </w:tcPr>
          <w:p>
            <w:pPr>
              <w:pStyle w:val="11"/>
            </w:pPr>
            <w:r>
              <w:t>105.43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102.40</w:t>
            </w:r>
          </w:p>
        </w:tc>
        <w:tc>
          <w:tcPr>
            <w:tcW w:w="2551" w:type="dxa"/>
            <w:vAlign w:val="center"/>
          </w:tcPr>
          <w:p>
            <w:pPr>
              <w:pStyle w:val="11"/>
            </w:pPr>
            <w:r>
              <w:t>102.40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3.03</w:t>
            </w:r>
          </w:p>
        </w:tc>
        <w:tc>
          <w:tcPr>
            <w:tcW w:w="2551" w:type="dxa"/>
            <w:vAlign w:val="center"/>
          </w:tcPr>
          <w:p>
            <w:pPr>
              <w:pStyle w:val="11"/>
            </w:pPr>
            <w:r>
              <w:t>3.03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65.00</w:t>
            </w:r>
          </w:p>
        </w:tc>
        <w:tc>
          <w:tcPr>
            <w:tcW w:w="2551" w:type="dxa"/>
            <w:vAlign w:val="center"/>
          </w:tcPr>
          <w:p>
            <w:pPr>
              <w:pStyle w:val="15"/>
            </w:pPr>
          </w:p>
        </w:tc>
        <w:tc>
          <w:tcPr>
            <w:tcW w:w="2551"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65.00</w:t>
            </w:r>
          </w:p>
        </w:tc>
        <w:tc>
          <w:tcPr>
            <w:tcW w:w="2551" w:type="dxa"/>
            <w:vAlign w:val="center"/>
          </w:tcPr>
          <w:p>
            <w:pPr>
              <w:pStyle w:val="11"/>
            </w:pP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65.00</w:t>
            </w:r>
          </w:p>
        </w:tc>
        <w:tc>
          <w:tcPr>
            <w:tcW w:w="2551" w:type="dxa"/>
            <w:vAlign w:val="center"/>
          </w:tcPr>
          <w:p>
            <w:pPr>
              <w:pStyle w:val="11"/>
            </w:pP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65.00</w:t>
            </w:r>
          </w:p>
        </w:tc>
        <w:tc>
          <w:tcPr>
            <w:tcW w:w="2551" w:type="dxa"/>
            <w:vAlign w:val="center"/>
          </w:tcPr>
          <w:p>
            <w:pPr>
              <w:pStyle w:val="11"/>
            </w:pPr>
          </w:p>
        </w:tc>
        <w:tc>
          <w:tcPr>
            <w:tcW w:w="2551" w:type="dxa"/>
            <w:vAlign w:val="center"/>
          </w:tcPr>
          <w:p>
            <w:pPr>
              <w:pStyle w:val="11"/>
            </w:pPr>
            <w:r>
              <w:t>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深泽县科学技术和工业信息化局本级2026年单位预算信息公开情况说明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按照《中华人民共和国预算法》、《地方预决算公开操作规程》和《关于进一步推进预算公开工作的实施意见》规定，现将深泽县科学技术和工业信息化局本级2026年单位预算公开如下：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根据《深泽县科学技术和工业信息化局职能配置、内设机构和人员编制规定》，深泽县科学技术和工业信息化局的主要职责是：</w:t>
      </w:r>
    </w:p>
    <w:p>
      <w:pPr>
        <w:pStyle w:val="17"/>
      </w:pPr>
      <w:r>
        <w:t>(一)提出全县新型工业化发展战略和政策，协调解决新型工业化进程中的重大问题，推进产业结构战略性调整和优化升级，推进信息化和工业化融合，促进民营经济发展。</w:t>
      </w:r>
    </w:p>
    <w:p>
      <w:pPr>
        <w:pStyle w:val="17"/>
      </w:pPr>
      <w:r>
        <w:t>(二)制订并组织实施全县工业行业规划、计划和产业政策，提出优化产业布局、结构的政策建议，推进现代产业体系建设，组织实施行业技术规范和标准，指导行业质量管理工作。</w:t>
      </w:r>
    </w:p>
    <w:p>
      <w:pPr>
        <w:pStyle w:val="17"/>
      </w:pPr>
      <w:r>
        <w:t>(三)监测、分析全县工业运行态势，统计并发布相关信息，进行预测预警和信息引导，协调解决行业运行发展中的有关问题并提出政策建议；负责工业用电监测；负责工业应急管理、产业安全有关工作；负责县级药品储备管理的有关工作；发挥工业相关行业协会纽带作用，加强对行业、企业发展态势的把握。</w:t>
      </w:r>
    </w:p>
    <w:p>
      <w:pPr>
        <w:pStyle w:val="17"/>
      </w:pPr>
      <w:r>
        <w:t>(四)负责提出全县工业固定资产投资规模和方向（含利用外资和境外投资)、工业转型升级（技术改造）投资方向（含利用外资和境外投资)、国家和省、市、县财政性转型升级（技术改造)专项资金安排的意见。</w:t>
      </w:r>
    </w:p>
    <w:p>
      <w:pPr>
        <w:pStyle w:val="17"/>
      </w:pPr>
      <w:r>
        <w:t>(五)负责对中小企业和民营经济促进工作进行指导、综合协调和监督检查，会同有关部门拟订促进中小企业发展和民营经济发展的相关政策和措施并组织实施，协调解决有关重大问题。</w:t>
      </w:r>
    </w:p>
    <w:p>
      <w:pPr>
        <w:pStyle w:val="17"/>
      </w:pPr>
      <w:r>
        <w:t>(六)贯彻国家政策和标准，拟订高技术产业（含涉及生物医药、新材料、信息产业等)规划和战略性新兴产业及数字经济发展规划政策，协调产业升级、重大技术装备推广应用等方面重大问题，推进相关科研成果产业化，推动全县软件业、信息服务业和新兴产业发展。</w:t>
      </w:r>
    </w:p>
    <w:p>
      <w:pPr>
        <w:pStyle w:val="17"/>
      </w:pPr>
      <w:r>
        <w:t>(七)承担全县振兴装备制造业的组织协调，贯彻执行国家、省市重大技术装备发展和自主创新规划、政策，依托国家和省、市重点工程建设，协调有关重大专项的实施，推进重大技术装备国产化，指导引进重大技术装备的消化创新。</w:t>
      </w:r>
    </w:p>
    <w:p>
      <w:pPr>
        <w:pStyle w:val="17"/>
      </w:pPr>
      <w:r>
        <w:t>(八)拟订并组织实施全县工业能源节约和资源综合利用促进政策，参与拟订能源节约和资源综合利用促进规划，组织协调相关重大示范工程和新产品、新技术、新设备、新材料的推广应用。</w:t>
      </w:r>
    </w:p>
    <w:p>
      <w:pPr>
        <w:pStyle w:val="17"/>
      </w:pPr>
      <w:r>
        <w:t>(九)推进全县工业体制改革和管理创新，提高行业综合素质和核心竞争力，指导相关行业加强安全生产管理，负责民爆行业生产流通的监督管理和安全生产工作。</w:t>
      </w:r>
    </w:p>
    <w:p>
      <w:pPr>
        <w:pStyle w:val="17"/>
      </w:pPr>
      <w:r>
        <w:t>(十)组织开展工业、中小企业、民营企业的对外合作与交流；负责二轻集体工业联社资产的经营和管理；负责流通领域盐业行业管理和食盐专营管理。</w:t>
      </w:r>
    </w:p>
    <w:p>
      <w:pPr>
        <w:pStyle w:val="17"/>
      </w:pPr>
      <w:r>
        <w:t>(十一)承担履行《禁止化学武器公约》的组织协调工作。</w:t>
      </w:r>
    </w:p>
    <w:p>
      <w:pPr>
        <w:pStyle w:val="17"/>
      </w:pPr>
      <w:r>
        <w:t>(十二)研究军民融合发展重大政策，提出相关体制改革意见；研究提出全县军民融合发展相关重要问题的意见；深化军民融合战略合作，推进军民融合发展重大项目（专项工程）和重要事项。承担县委军民融合发展委员会日常工作。</w:t>
      </w:r>
    </w:p>
    <w:p>
      <w:pPr>
        <w:pStyle w:val="17"/>
      </w:pPr>
      <w:r>
        <w:t>(十三)组织实施国民经济、装备动员，交通战备保障等工作。</w:t>
      </w:r>
    </w:p>
    <w:p>
      <w:pPr>
        <w:pStyle w:val="17"/>
      </w:pPr>
      <w:r>
        <w:t>(十四)贯彻落实创新驱动发展战略方针，拟订科技发展、引进国外智力规划并组织实施。</w:t>
      </w:r>
    </w:p>
    <w:p>
      <w:pPr>
        <w:pStyle w:val="17"/>
      </w:pPr>
      <w:r>
        <w:t>(十五)统筹推进全县创新体系建设和科技体制改革，会同有关部门健全技术创新激励机制。优化科研体系建设，推动企业科技创新能力建设，承担推进科技军民融合发展相关工作，推进县重大科技决策咨询制度建设。拟订科学普及和科学传播政策措施。</w:t>
      </w:r>
    </w:p>
    <w:p>
      <w:pPr>
        <w:pStyle w:val="17"/>
      </w:pPr>
      <w:r>
        <w:t>(十六)会同有关部门提出优化配置科技资源的措施建议，推动多元化科技投入体系建设，编制县重大科技项目计划并监督实施。</w:t>
      </w:r>
    </w:p>
    <w:p>
      <w:pPr>
        <w:pStyle w:val="17"/>
      </w:pPr>
      <w:r>
        <w:t>(十七)组织拟订高新技术发展及产业化、科技促进农业农村和社会发展的政策和措施。组织开展重点领域技术发展需求分析，提出重大任务并监督实施。指导科技园区建设。</w:t>
      </w:r>
    </w:p>
    <w:p>
      <w:pPr>
        <w:pStyle w:val="17"/>
      </w:pPr>
      <w:r>
        <w:t>(十八)牵头技术转移体系建设，拟订科技成果转移转化和促进产学研结合的相关政策措施并监督实施。指导科技服务业、技术市场和科技中介组织发展。</w:t>
      </w:r>
    </w:p>
    <w:p>
      <w:pPr>
        <w:pStyle w:val="17"/>
      </w:pPr>
      <w:r>
        <w:t>(十九)统筹县域科技创新体系建设，促进县域创新发展、科技资源合理布局和协同创新能力建设。</w:t>
      </w:r>
    </w:p>
    <w:p>
      <w:pPr>
        <w:pStyle w:val="17"/>
      </w:pPr>
      <w:r>
        <w:t>(二十)负责组织开展对外科技合作交流。负责引进国外智力工作。建立外国高层次人才吸引集聚机制和重点外国专家联系服务机制。</w:t>
      </w:r>
    </w:p>
    <w:p>
      <w:pPr>
        <w:pStyle w:val="17"/>
      </w:pPr>
      <w:r>
        <w:t>(二十一)会同有关部门拟订科技人才队伍建设政策措施，建立健全科技人才评价和激励机制，组织实施科技人才相关计划，推动高端科技创新人才队伍建设。</w:t>
      </w:r>
    </w:p>
    <w:p>
      <w:pPr>
        <w:pStyle w:val="17"/>
      </w:pPr>
      <w:r>
        <w:t>(二十二)承担省市科学技术奖的组织申报工作。</w:t>
      </w:r>
    </w:p>
    <w:p>
      <w:pPr>
        <w:pStyle w:val="17"/>
      </w:pPr>
      <w:r>
        <w:t>(二十三)完成县委、县政府、县委军民融合发展委员会交办的其他任务。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深泽县科学技术和工业信息化局本级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2325.79万元，其中：一般公共预算收入2107.07万元，基金预算收入0.00万元，国有资本经营预算收入65.00万元，财政专户核拨收入0.00万元，单位资金收入0.00万元，上年结转结余153.72万元。</w:t>
      </w:r>
    </w:p>
    <w:p>
      <w:pPr>
        <w:pStyle w:val="18"/>
      </w:pPr>
      <w:r>
        <w:t>2、支出说明</w:t>
      </w:r>
    </w:p>
    <w:p>
      <w:pPr>
        <w:pStyle w:val="18"/>
      </w:pPr>
      <w:r>
        <w:t>收支预算总表支出栏、基本支出表、项目支出表按经济分类和支出功能分类科目编制，反映深泽县科学技术和工业信息化局本级年度单位预算中支出预算的总体情况。2026年支出预算2325.79万元，其中基本支出403.75万元，包括人员经费390.97万元和日常公用经费12.78万元；项目支出1922.04万元，主要为2026年产业基础再造和制造业高质量发展专项资金，2026年省级中小企业发展专项资金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2026年预算收支安排2325.79万元，较2025年预算增加1223.83万元，其中：基本支出增加52.54万元，主要为人员增加。项目支出增加1171.29万元，主要为项目增多。。预计下年使用的单位资金结余增加0.00万元。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1、2025年技术创新引导专项资金（县域科技创新跃升奖励资金）绩效目标表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13012825P00024210001K</w:t>
            </w:r>
          </w:p>
        </w:tc>
        <w:tc>
          <w:tcPr>
            <w:tcW w:w="2835" w:type="dxa"/>
            <w:vAlign w:val="center"/>
          </w:tcPr>
          <w:p>
            <w:pPr>
              <w:pStyle w:val="10"/>
            </w:pPr>
            <w:r>
              <w:t>项目名称</w:t>
            </w:r>
          </w:p>
        </w:tc>
        <w:tc>
          <w:tcPr>
            <w:tcW w:w="6095" w:type="dxa"/>
            <w:gridSpan w:val="3"/>
            <w:vAlign w:val="center"/>
          </w:tcPr>
          <w:p>
            <w:pPr>
              <w:pStyle w:val="12"/>
            </w:pPr>
            <w:r>
              <w:t>2025年技术创新引导专项资金（县域科技创新跃升奖励资金）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132.80</w:t>
            </w:r>
          </w:p>
        </w:tc>
        <w:tc>
          <w:tcPr>
            <w:tcW w:w="2835" w:type="dxa"/>
            <w:vAlign w:val="center"/>
          </w:tcPr>
          <w:p>
            <w:pPr>
              <w:pStyle w:val="10"/>
            </w:pPr>
            <w:r>
              <w:t>其中：财政    资金</w:t>
            </w:r>
          </w:p>
        </w:tc>
        <w:tc>
          <w:tcPr>
            <w:tcW w:w="2551" w:type="dxa"/>
            <w:vAlign w:val="center"/>
          </w:tcPr>
          <w:p>
            <w:pPr>
              <w:pStyle w:val="12"/>
            </w:pPr>
            <w:r>
              <w:t>132.80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用于2025年技术创新引导专项资金（县域科技创新跃升奖励资金）的安排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132.80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1.进一步壮大创新主体，加强创新载体建设，引进高层次创新人才，推动全县县域科技创新能力。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有效提升企业科技创新能力</w:t>
            </w:r>
          </w:p>
        </w:tc>
        <w:tc>
          <w:tcPr>
            <w:tcW w:w="5386" w:type="dxa"/>
            <w:vAlign w:val="center"/>
          </w:tcPr>
          <w:p>
            <w:pPr>
              <w:pStyle w:val="12"/>
            </w:pPr>
            <w:r>
              <w:t>有效提升企业科技创新的积极性，增强创新能力</w:t>
            </w:r>
          </w:p>
        </w:tc>
        <w:tc>
          <w:tcPr>
            <w:tcW w:w="2268" w:type="dxa"/>
            <w:vAlign w:val="center"/>
          </w:tcPr>
          <w:p>
            <w:pPr>
              <w:pStyle w:val="12"/>
            </w:pPr>
            <w:r>
              <w:t>≥90</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高新技术企业数</w:t>
            </w:r>
          </w:p>
        </w:tc>
        <w:tc>
          <w:tcPr>
            <w:tcW w:w="5386" w:type="dxa"/>
            <w:vAlign w:val="center"/>
          </w:tcPr>
          <w:p>
            <w:pPr>
              <w:pStyle w:val="12"/>
            </w:pPr>
            <w:r>
              <w:t>奖励有效期内及新认定高新技术企业，激发企业创新动力</w:t>
            </w:r>
          </w:p>
        </w:tc>
        <w:tc>
          <w:tcPr>
            <w:tcW w:w="2268" w:type="dxa"/>
            <w:vAlign w:val="center"/>
          </w:tcPr>
          <w:p>
            <w:pPr>
              <w:pStyle w:val="12"/>
            </w:pPr>
            <w:r>
              <w:t>核实</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技术创新引导专项资金及时拨付率</w:t>
            </w:r>
          </w:p>
        </w:tc>
        <w:tc>
          <w:tcPr>
            <w:tcW w:w="2268" w:type="dxa"/>
            <w:vAlign w:val="center"/>
          </w:tcPr>
          <w:p>
            <w:pPr>
              <w:pStyle w:val="12"/>
            </w:pPr>
            <w:r>
              <w:t>≥90</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财政科技资金安排产业创新补助标准</w:t>
            </w:r>
          </w:p>
        </w:tc>
        <w:tc>
          <w:tcPr>
            <w:tcW w:w="2268" w:type="dxa"/>
            <w:vAlign w:val="center"/>
          </w:tcPr>
          <w:p>
            <w:pPr>
              <w:pStyle w:val="12"/>
            </w:pPr>
            <w:r>
              <w:t>≥132.8万元</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经济发展影响</w:t>
            </w:r>
          </w:p>
        </w:tc>
        <w:tc>
          <w:tcPr>
            <w:tcW w:w="5386" w:type="dxa"/>
            <w:vAlign w:val="center"/>
          </w:tcPr>
          <w:p>
            <w:pPr>
              <w:pStyle w:val="12"/>
            </w:pPr>
            <w:r>
              <w:t>县域创新对社会发展产生长期重要影响</w:t>
            </w:r>
          </w:p>
        </w:tc>
        <w:tc>
          <w:tcPr>
            <w:tcW w:w="2268" w:type="dxa"/>
            <w:vAlign w:val="center"/>
          </w:tcPr>
          <w:p>
            <w:pPr>
              <w:pStyle w:val="12"/>
            </w:pPr>
            <w:r>
              <w:t>长期</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科技创新服务支撑作用</w:t>
            </w:r>
          </w:p>
        </w:tc>
        <w:tc>
          <w:tcPr>
            <w:tcW w:w="5386" w:type="dxa"/>
            <w:vAlign w:val="center"/>
          </w:tcPr>
          <w:p>
            <w:pPr>
              <w:pStyle w:val="12"/>
            </w:pPr>
            <w:r>
              <w:t>为科技创新活动提供服务支撑</w:t>
            </w:r>
          </w:p>
        </w:tc>
        <w:tc>
          <w:tcPr>
            <w:tcW w:w="2268" w:type="dxa"/>
            <w:vAlign w:val="center"/>
          </w:tcPr>
          <w:p>
            <w:pPr>
              <w:pStyle w:val="12"/>
            </w:pPr>
            <w:r>
              <w:t>进一步提升</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对环境的影响程度</w:t>
            </w:r>
          </w:p>
        </w:tc>
        <w:tc>
          <w:tcPr>
            <w:tcW w:w="2268" w:type="dxa"/>
            <w:vAlign w:val="center"/>
          </w:tcPr>
          <w:p>
            <w:pPr>
              <w:pStyle w:val="12"/>
            </w:pPr>
            <w:r>
              <w:t>长期</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科技创新能力</w:t>
            </w:r>
          </w:p>
        </w:tc>
        <w:tc>
          <w:tcPr>
            <w:tcW w:w="5386" w:type="dxa"/>
            <w:vAlign w:val="center"/>
          </w:tcPr>
          <w:p>
            <w:pPr>
              <w:pStyle w:val="12"/>
            </w:pPr>
            <w:r>
              <w:t>科技创新能力</w:t>
            </w:r>
          </w:p>
        </w:tc>
        <w:tc>
          <w:tcPr>
            <w:tcW w:w="2268" w:type="dxa"/>
            <w:vAlign w:val="center"/>
          </w:tcPr>
          <w:p>
            <w:pPr>
              <w:pStyle w:val="12"/>
            </w:pPr>
            <w:r>
              <w:t>进一步提升</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2、关于提前下达2026年国有企业退休人员社会化管理省级财政补助资金绩效目标表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13012826P00022810004G</w:t>
            </w:r>
          </w:p>
        </w:tc>
        <w:tc>
          <w:tcPr>
            <w:tcW w:w="2835" w:type="dxa"/>
            <w:vAlign w:val="center"/>
          </w:tcPr>
          <w:p>
            <w:pPr>
              <w:pStyle w:val="10"/>
            </w:pPr>
            <w:r>
              <w:t>项目名称</w:t>
            </w:r>
          </w:p>
        </w:tc>
        <w:tc>
          <w:tcPr>
            <w:tcW w:w="6095" w:type="dxa"/>
            <w:gridSpan w:val="3"/>
            <w:vAlign w:val="center"/>
          </w:tcPr>
          <w:p>
            <w:pPr>
              <w:pStyle w:val="12"/>
            </w:pPr>
            <w:r>
              <w:t>关于提前下达2026年国有企业退休人员社会化管理省级财政补助资金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国有企业退休人员社会化管理服务费用。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1.国有企业退休人员社会化管理服务费用。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国有企业退休管理工作</w:t>
            </w:r>
          </w:p>
        </w:tc>
        <w:tc>
          <w:tcPr>
            <w:tcW w:w="5386" w:type="dxa"/>
            <w:vAlign w:val="center"/>
          </w:tcPr>
          <w:p>
            <w:pPr>
              <w:pStyle w:val="12"/>
            </w:pPr>
            <w:r>
              <w:t>国有企业已退休人员管理服务工作与原企业分离的比例</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运行率</w:t>
            </w:r>
          </w:p>
        </w:tc>
        <w:tc>
          <w:tcPr>
            <w:tcW w:w="5386" w:type="dxa"/>
            <w:vAlign w:val="center"/>
          </w:tcPr>
          <w:p>
            <w:pPr>
              <w:pStyle w:val="12"/>
            </w:pPr>
            <w:r>
              <w:t>各项工作和业务正常运转的比率</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各项工作任务及时完成的比率</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项目依据的政策</w:t>
            </w:r>
          </w:p>
        </w:tc>
        <w:tc>
          <w:tcPr>
            <w:tcW w:w="2268" w:type="dxa"/>
            <w:vAlign w:val="center"/>
          </w:tcPr>
          <w:p>
            <w:pPr>
              <w:pStyle w:val="12"/>
            </w:pPr>
            <w:r>
              <w:t>9万元</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国有企业不承担移交后的退休人员社会化管理服务费用的比例</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正常运转</w:t>
            </w:r>
          </w:p>
        </w:tc>
        <w:tc>
          <w:tcPr>
            <w:tcW w:w="2268" w:type="dxa"/>
            <w:vAlign w:val="center"/>
          </w:tcPr>
          <w:p>
            <w:pPr>
              <w:pStyle w:val="12"/>
            </w:pPr>
            <w:r>
              <w:t>可持续</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可持续影响指标</w:t>
            </w:r>
          </w:p>
        </w:tc>
        <w:tc>
          <w:tcPr>
            <w:tcW w:w="5386" w:type="dxa"/>
            <w:vAlign w:val="center"/>
          </w:tcPr>
          <w:p>
            <w:pPr>
              <w:pStyle w:val="12"/>
            </w:pPr>
            <w:r>
              <w:t>项目依据的政策能持续运行</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移交企业的综合满意程度</w:t>
            </w:r>
          </w:p>
        </w:tc>
        <w:tc>
          <w:tcPr>
            <w:tcW w:w="2268" w:type="dxa"/>
            <w:vAlign w:val="center"/>
          </w:tcPr>
          <w:p>
            <w:pPr>
              <w:pStyle w:val="12"/>
            </w:pPr>
            <w:r>
              <w:t>≥85%</w:t>
            </w:r>
          </w:p>
        </w:tc>
        <w:tc>
          <w:tcPr>
            <w:tcW w:w="1276" w:type="dxa"/>
            <w:vAlign w:val="center"/>
          </w:tcPr>
          <w:p>
            <w:pPr>
              <w:pStyle w:val="12"/>
            </w:pPr>
            <w:r>
              <w:t>按政策依据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3、关于提前下达2026年国有企业退休人员社会化管理中央财政补助资金绩效目标表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13012826P00022810003W</w:t>
            </w:r>
          </w:p>
        </w:tc>
        <w:tc>
          <w:tcPr>
            <w:tcW w:w="2835" w:type="dxa"/>
            <w:vAlign w:val="center"/>
          </w:tcPr>
          <w:p>
            <w:pPr>
              <w:pStyle w:val="10"/>
            </w:pPr>
            <w:r>
              <w:t>项目名称</w:t>
            </w:r>
          </w:p>
        </w:tc>
        <w:tc>
          <w:tcPr>
            <w:tcW w:w="6095" w:type="dxa"/>
            <w:gridSpan w:val="3"/>
            <w:vAlign w:val="center"/>
          </w:tcPr>
          <w:p>
            <w:pPr>
              <w:pStyle w:val="12"/>
            </w:pPr>
            <w:r>
              <w:t>关于提前下达2026年国有企业退休人员社会化管理中央财政补助资金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国有企业退休人员社会化管理服务费用。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1.国有企业退休人员社会化管理服务费用。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国有企业退休管理工作</w:t>
            </w:r>
          </w:p>
        </w:tc>
        <w:tc>
          <w:tcPr>
            <w:tcW w:w="5386" w:type="dxa"/>
            <w:vAlign w:val="center"/>
          </w:tcPr>
          <w:p>
            <w:pPr>
              <w:pStyle w:val="12"/>
            </w:pPr>
            <w:r>
              <w:t>国有企业已退休人员管理服务工作与原企业分离的比例</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运行率</w:t>
            </w:r>
          </w:p>
        </w:tc>
        <w:tc>
          <w:tcPr>
            <w:tcW w:w="5386" w:type="dxa"/>
            <w:vAlign w:val="center"/>
          </w:tcPr>
          <w:p>
            <w:pPr>
              <w:pStyle w:val="12"/>
            </w:pPr>
            <w:r>
              <w:t>各项工作和业务正常运转的比率</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各项工作任务及时完成的比率</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项目依据的政策</w:t>
            </w:r>
          </w:p>
        </w:tc>
        <w:tc>
          <w:tcPr>
            <w:tcW w:w="2268" w:type="dxa"/>
            <w:vAlign w:val="center"/>
          </w:tcPr>
          <w:p>
            <w:pPr>
              <w:pStyle w:val="12"/>
            </w:pPr>
            <w:r>
              <w:t>56万元</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国有企业不承担移交后的退休人员社会化管理服务费用的比例</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正常运转</w:t>
            </w:r>
          </w:p>
        </w:tc>
        <w:tc>
          <w:tcPr>
            <w:tcW w:w="2268" w:type="dxa"/>
            <w:vAlign w:val="center"/>
          </w:tcPr>
          <w:p>
            <w:pPr>
              <w:pStyle w:val="12"/>
            </w:pPr>
            <w:r>
              <w:t>可持续</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可持续影响指标</w:t>
            </w:r>
          </w:p>
        </w:tc>
        <w:tc>
          <w:tcPr>
            <w:tcW w:w="5386" w:type="dxa"/>
            <w:vAlign w:val="center"/>
          </w:tcPr>
          <w:p>
            <w:pPr>
              <w:pStyle w:val="12"/>
            </w:pPr>
            <w:r>
              <w:t>项目依据的政策能持续运行</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移交企业的综合满意程度</w:t>
            </w:r>
          </w:p>
        </w:tc>
        <w:tc>
          <w:tcPr>
            <w:tcW w:w="2268" w:type="dxa"/>
            <w:vAlign w:val="center"/>
          </w:tcPr>
          <w:p>
            <w:pPr>
              <w:pStyle w:val="12"/>
            </w:pPr>
            <w:r>
              <w:t>≥85%</w:t>
            </w:r>
          </w:p>
        </w:tc>
        <w:tc>
          <w:tcPr>
            <w:tcW w:w="1276" w:type="dxa"/>
            <w:vAlign w:val="center"/>
          </w:tcPr>
          <w:p>
            <w:pPr>
              <w:pStyle w:val="12"/>
            </w:pPr>
            <w:r>
              <w:t>按政策依据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4、关于提前下达2026年省级中小企业发展专项资金预算绩效目标表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13012826P000001100062</w:t>
            </w:r>
          </w:p>
        </w:tc>
        <w:tc>
          <w:tcPr>
            <w:tcW w:w="2835" w:type="dxa"/>
            <w:vAlign w:val="center"/>
          </w:tcPr>
          <w:p>
            <w:pPr>
              <w:pStyle w:val="10"/>
            </w:pPr>
            <w:r>
              <w:t>项目名称</w:t>
            </w:r>
          </w:p>
        </w:tc>
        <w:tc>
          <w:tcPr>
            <w:tcW w:w="6095" w:type="dxa"/>
            <w:gridSpan w:val="3"/>
            <w:vAlign w:val="center"/>
          </w:tcPr>
          <w:p>
            <w:pPr>
              <w:pStyle w:val="12"/>
            </w:pPr>
            <w:r>
              <w:t>关于提前下达2026年省级中小企业发展专项资金预算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用于2026年省级中小企业发展专项资金。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1.推动专精特新企业创新发展能力更强，在细分领域创新发展方面实现明细提升。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获得资金支持企业个数</w:t>
            </w:r>
          </w:p>
        </w:tc>
        <w:tc>
          <w:tcPr>
            <w:tcW w:w="2268" w:type="dxa"/>
            <w:vAlign w:val="center"/>
          </w:tcPr>
          <w:p>
            <w:pPr>
              <w:pStyle w:val="12"/>
            </w:pPr>
            <w:r>
              <w:t>≥1家</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企业创新发展能力提升</w:t>
            </w:r>
          </w:p>
        </w:tc>
        <w:tc>
          <w:tcPr>
            <w:tcW w:w="5386" w:type="dxa"/>
            <w:vAlign w:val="center"/>
          </w:tcPr>
          <w:p>
            <w:pPr>
              <w:pStyle w:val="12"/>
            </w:pPr>
            <w:r>
              <w:t>企业创新发展能力提升</w:t>
            </w:r>
          </w:p>
        </w:tc>
        <w:tc>
          <w:tcPr>
            <w:tcW w:w="2268" w:type="dxa"/>
            <w:vAlign w:val="center"/>
          </w:tcPr>
          <w:p>
            <w:pPr>
              <w:pStyle w:val="12"/>
            </w:pPr>
            <w:r>
              <w:t>进一步提升</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资金下达企业时间</w:t>
            </w:r>
          </w:p>
        </w:tc>
        <w:tc>
          <w:tcPr>
            <w:tcW w:w="5386" w:type="dxa"/>
            <w:vAlign w:val="center"/>
          </w:tcPr>
          <w:p>
            <w:pPr>
              <w:pStyle w:val="12"/>
            </w:pPr>
            <w:r>
              <w:t>支持资金按时拨付到企业时限</w:t>
            </w:r>
          </w:p>
        </w:tc>
        <w:tc>
          <w:tcPr>
            <w:tcW w:w="2268" w:type="dxa"/>
            <w:vAlign w:val="center"/>
          </w:tcPr>
          <w:p>
            <w:pPr>
              <w:pStyle w:val="12"/>
            </w:pPr>
            <w:r>
              <w:t>2026年12月之前</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专精特新企业创新发展资金</w:t>
            </w:r>
          </w:p>
        </w:tc>
        <w:tc>
          <w:tcPr>
            <w:tcW w:w="5386" w:type="dxa"/>
            <w:vAlign w:val="center"/>
          </w:tcPr>
          <w:p>
            <w:pPr>
              <w:pStyle w:val="12"/>
            </w:pPr>
            <w:r>
              <w:t>专精特新企业创新发展资金</w:t>
            </w:r>
          </w:p>
        </w:tc>
        <w:tc>
          <w:tcPr>
            <w:tcW w:w="2268" w:type="dxa"/>
            <w:vAlign w:val="center"/>
          </w:tcPr>
          <w:p>
            <w:pPr>
              <w:pStyle w:val="12"/>
            </w:pPr>
            <w:r>
              <w:t>100万元</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专精特新企业数量</w:t>
            </w:r>
          </w:p>
        </w:tc>
        <w:tc>
          <w:tcPr>
            <w:tcW w:w="5386" w:type="dxa"/>
            <w:vAlign w:val="center"/>
          </w:tcPr>
          <w:p>
            <w:pPr>
              <w:pStyle w:val="12"/>
            </w:pPr>
            <w:r>
              <w:t>区域创新能力</w:t>
            </w:r>
          </w:p>
        </w:tc>
        <w:tc>
          <w:tcPr>
            <w:tcW w:w="2268" w:type="dxa"/>
            <w:vAlign w:val="center"/>
          </w:tcPr>
          <w:p>
            <w:pPr>
              <w:pStyle w:val="12"/>
            </w:pPr>
            <w:r>
              <w:t>稳步增长</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示范带动</w:t>
            </w:r>
          </w:p>
        </w:tc>
        <w:tc>
          <w:tcPr>
            <w:tcW w:w="5386" w:type="dxa"/>
            <w:vAlign w:val="center"/>
          </w:tcPr>
          <w:p>
            <w:pPr>
              <w:pStyle w:val="12"/>
            </w:pPr>
            <w:r>
              <w:t>引导带动更多企业向“专精特新”发展</w:t>
            </w:r>
          </w:p>
        </w:tc>
        <w:tc>
          <w:tcPr>
            <w:tcW w:w="2268" w:type="dxa"/>
            <w:vAlign w:val="center"/>
          </w:tcPr>
          <w:p>
            <w:pPr>
              <w:pStyle w:val="12"/>
            </w:pPr>
            <w:r>
              <w:t>稳步增长</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对经济社会发展的影响</w:t>
            </w:r>
          </w:p>
        </w:tc>
        <w:tc>
          <w:tcPr>
            <w:tcW w:w="5386" w:type="dxa"/>
            <w:vAlign w:val="center"/>
          </w:tcPr>
          <w:p>
            <w:pPr>
              <w:pStyle w:val="12"/>
            </w:pPr>
            <w:r>
              <w:t>专精特新企业对经济社会发展的影响</w:t>
            </w:r>
          </w:p>
        </w:tc>
        <w:tc>
          <w:tcPr>
            <w:tcW w:w="2268" w:type="dxa"/>
            <w:vAlign w:val="center"/>
          </w:tcPr>
          <w:p>
            <w:pPr>
              <w:pStyle w:val="12"/>
            </w:pPr>
            <w:r>
              <w:t>显著</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支持企业满意度</w:t>
            </w:r>
          </w:p>
          <w:p>
            <w:pPr>
              <w:pStyle w:val="12"/>
            </w:pPr>
          </w:p>
        </w:tc>
        <w:tc>
          <w:tcPr>
            <w:tcW w:w="2268" w:type="dxa"/>
            <w:vAlign w:val="center"/>
          </w:tcPr>
          <w:p>
            <w:pPr>
              <w:pStyle w:val="12"/>
            </w:pPr>
            <w:r>
              <w:t>≥90百分比</w:t>
            </w:r>
          </w:p>
        </w:tc>
        <w:tc>
          <w:tcPr>
            <w:tcW w:w="1276" w:type="dxa"/>
            <w:vAlign w:val="center"/>
          </w:tcPr>
          <w:p>
            <w:pPr>
              <w:pStyle w:val="12"/>
            </w:pPr>
            <w:r>
              <w:t>按文件要求。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5、关于下达2025年中小企业数字化转型试点市级奖补资金（第二批）绩效目标表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13012825P00000110290B</w:t>
            </w:r>
          </w:p>
        </w:tc>
        <w:tc>
          <w:tcPr>
            <w:tcW w:w="2835" w:type="dxa"/>
            <w:vAlign w:val="center"/>
          </w:tcPr>
          <w:p>
            <w:pPr>
              <w:pStyle w:val="10"/>
            </w:pPr>
            <w:r>
              <w:t>项目名称</w:t>
            </w:r>
          </w:p>
        </w:tc>
        <w:tc>
          <w:tcPr>
            <w:tcW w:w="6095" w:type="dxa"/>
            <w:gridSpan w:val="3"/>
            <w:vAlign w:val="center"/>
          </w:tcPr>
          <w:p>
            <w:pPr>
              <w:pStyle w:val="12"/>
            </w:pPr>
            <w:r>
              <w:t>关于下达2025年中小企业数字化转型试点市级奖补资金（第二批）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20.92</w:t>
            </w:r>
          </w:p>
        </w:tc>
        <w:tc>
          <w:tcPr>
            <w:tcW w:w="2835" w:type="dxa"/>
            <w:vAlign w:val="center"/>
          </w:tcPr>
          <w:p>
            <w:pPr>
              <w:pStyle w:val="10"/>
            </w:pPr>
            <w:r>
              <w:t>其中：财政    资金</w:t>
            </w:r>
          </w:p>
        </w:tc>
        <w:tc>
          <w:tcPr>
            <w:tcW w:w="2551" w:type="dxa"/>
            <w:vAlign w:val="center"/>
          </w:tcPr>
          <w:p>
            <w:pPr>
              <w:pStyle w:val="12"/>
            </w:pPr>
            <w:r>
              <w:t>20.92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用于2025年中小企业数字化转型试点市级奖补资金。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1.引导、支持中小企业数字化转型，鼓励企业加大数字化转型力度。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该项目资金支持企业的数量</w:t>
            </w:r>
          </w:p>
        </w:tc>
        <w:tc>
          <w:tcPr>
            <w:tcW w:w="2268" w:type="dxa"/>
            <w:vAlign w:val="center"/>
          </w:tcPr>
          <w:p>
            <w:pPr>
              <w:pStyle w:val="12"/>
            </w:pPr>
            <w:r>
              <w:t>≥2个</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活动覆盖率</w:t>
            </w:r>
          </w:p>
        </w:tc>
        <w:tc>
          <w:tcPr>
            <w:tcW w:w="2268" w:type="dxa"/>
            <w:vAlign w:val="center"/>
          </w:tcPr>
          <w:p>
            <w:pPr>
              <w:pStyle w:val="12"/>
            </w:pPr>
            <w:r>
              <w:t>≥90%</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拨付率</w:t>
            </w:r>
          </w:p>
        </w:tc>
        <w:tc>
          <w:tcPr>
            <w:tcW w:w="5386" w:type="dxa"/>
            <w:vAlign w:val="center"/>
          </w:tcPr>
          <w:p>
            <w:pPr>
              <w:pStyle w:val="12"/>
            </w:pPr>
            <w:r>
              <w:t>及时拨付率</w:t>
            </w:r>
          </w:p>
        </w:tc>
        <w:tc>
          <w:tcPr>
            <w:tcW w:w="2268" w:type="dxa"/>
            <w:vAlign w:val="center"/>
          </w:tcPr>
          <w:p>
            <w:pPr>
              <w:pStyle w:val="12"/>
            </w:pPr>
            <w:r>
              <w:t>≥90%</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数字化转型试点奖励资金标准</w:t>
            </w:r>
          </w:p>
        </w:tc>
        <w:tc>
          <w:tcPr>
            <w:tcW w:w="5386" w:type="dxa"/>
            <w:vAlign w:val="center"/>
          </w:tcPr>
          <w:p>
            <w:pPr>
              <w:pStyle w:val="12"/>
            </w:pPr>
            <w:r>
              <w:t>对数字化转型试点企业给予奖励</w:t>
            </w:r>
          </w:p>
        </w:tc>
        <w:tc>
          <w:tcPr>
            <w:tcW w:w="2268" w:type="dxa"/>
            <w:vAlign w:val="center"/>
          </w:tcPr>
          <w:p>
            <w:pPr>
              <w:pStyle w:val="12"/>
            </w:pPr>
            <w:r>
              <w:t>20.92万元</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引进人才</w:t>
            </w:r>
          </w:p>
        </w:tc>
        <w:tc>
          <w:tcPr>
            <w:tcW w:w="5386" w:type="dxa"/>
            <w:vAlign w:val="center"/>
          </w:tcPr>
          <w:p>
            <w:pPr>
              <w:pStyle w:val="12"/>
            </w:pPr>
            <w:r>
              <w:t>培养、引进专业技术人才</w:t>
            </w:r>
          </w:p>
        </w:tc>
        <w:tc>
          <w:tcPr>
            <w:tcW w:w="2268" w:type="dxa"/>
            <w:vAlign w:val="center"/>
          </w:tcPr>
          <w:p>
            <w:pPr>
              <w:pStyle w:val="12"/>
            </w:pPr>
            <w:r>
              <w:t>≥5人</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企业数字化水平平稳提升</w:t>
            </w:r>
          </w:p>
        </w:tc>
        <w:tc>
          <w:tcPr>
            <w:tcW w:w="5386" w:type="dxa"/>
            <w:vAlign w:val="center"/>
          </w:tcPr>
          <w:p>
            <w:pPr>
              <w:pStyle w:val="12"/>
            </w:pPr>
            <w:r>
              <w:t>引导和推动全县中小企业加快转型</w:t>
            </w:r>
          </w:p>
        </w:tc>
        <w:tc>
          <w:tcPr>
            <w:tcW w:w="2268" w:type="dxa"/>
            <w:vAlign w:val="center"/>
          </w:tcPr>
          <w:p>
            <w:pPr>
              <w:pStyle w:val="12"/>
            </w:pPr>
            <w:r>
              <w:t>≥90%</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促进推动全县中小企业加快转型</w:t>
            </w:r>
          </w:p>
        </w:tc>
        <w:tc>
          <w:tcPr>
            <w:tcW w:w="2268" w:type="dxa"/>
            <w:vAlign w:val="center"/>
          </w:tcPr>
          <w:p>
            <w:pPr>
              <w:pStyle w:val="12"/>
            </w:pPr>
            <w:r>
              <w:t>≥90%</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p>
            <w:pPr>
              <w:pStyle w:val="12"/>
            </w:pPr>
          </w:p>
        </w:tc>
        <w:tc>
          <w:tcPr>
            <w:tcW w:w="5386" w:type="dxa"/>
            <w:vAlign w:val="center"/>
          </w:tcPr>
          <w:p>
            <w:pPr>
              <w:pStyle w:val="12"/>
            </w:pPr>
            <w:r>
              <w:t>企业数字化水平得到提升</w:t>
            </w:r>
          </w:p>
        </w:tc>
        <w:tc>
          <w:tcPr>
            <w:tcW w:w="2268" w:type="dxa"/>
            <w:vAlign w:val="center"/>
          </w:tcPr>
          <w:p>
            <w:pPr>
              <w:pStyle w:val="12"/>
            </w:pPr>
            <w:r>
              <w:t>≥90%</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服务企业满意度</w:t>
            </w:r>
          </w:p>
        </w:tc>
        <w:tc>
          <w:tcPr>
            <w:tcW w:w="5386" w:type="dxa"/>
            <w:vAlign w:val="center"/>
          </w:tcPr>
          <w:p>
            <w:pPr>
              <w:pStyle w:val="12"/>
            </w:pPr>
            <w:r>
              <w:t>满意度调查</w:t>
            </w:r>
          </w:p>
        </w:tc>
        <w:tc>
          <w:tcPr>
            <w:tcW w:w="2268" w:type="dxa"/>
            <w:vAlign w:val="center"/>
          </w:tcPr>
          <w:p>
            <w:pPr>
              <w:pStyle w:val="12"/>
            </w:pPr>
            <w:r>
              <w:t>≥90%</w:t>
            </w:r>
          </w:p>
        </w:tc>
        <w:tc>
          <w:tcPr>
            <w:tcW w:w="1276" w:type="dxa"/>
            <w:vAlign w:val="center"/>
          </w:tcPr>
          <w:p>
            <w:pPr>
              <w:pStyle w:val="12"/>
            </w:pPr>
            <w:r>
              <w:t>按文件要求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6、河北省财政厅关于下达2026年产业基础再造和制造业高质量发展专项资金预算的通知绩效目标表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13012826P00101310002Q</w:t>
            </w:r>
          </w:p>
        </w:tc>
        <w:tc>
          <w:tcPr>
            <w:tcW w:w="2835" w:type="dxa"/>
            <w:vAlign w:val="center"/>
          </w:tcPr>
          <w:p>
            <w:pPr>
              <w:pStyle w:val="10"/>
            </w:pPr>
            <w:r>
              <w:t>项目名称</w:t>
            </w:r>
          </w:p>
        </w:tc>
        <w:tc>
          <w:tcPr>
            <w:tcW w:w="6095" w:type="dxa"/>
            <w:gridSpan w:val="3"/>
            <w:vAlign w:val="center"/>
          </w:tcPr>
          <w:p>
            <w:pPr>
              <w:pStyle w:val="12"/>
            </w:pPr>
            <w:r>
              <w:t>河北省财政厅关于下达2026年产业基础再造和制造业高质量发展专项资金预算的通知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1575.00</w:t>
            </w:r>
          </w:p>
        </w:tc>
        <w:tc>
          <w:tcPr>
            <w:tcW w:w="2835" w:type="dxa"/>
            <w:vAlign w:val="center"/>
          </w:tcPr>
          <w:p>
            <w:pPr>
              <w:pStyle w:val="10"/>
            </w:pPr>
            <w:r>
              <w:t>其中：财政    资金</w:t>
            </w:r>
          </w:p>
        </w:tc>
        <w:tc>
          <w:tcPr>
            <w:tcW w:w="2551" w:type="dxa"/>
            <w:vAlign w:val="center"/>
          </w:tcPr>
          <w:p>
            <w:pPr>
              <w:pStyle w:val="12"/>
            </w:pPr>
            <w:r>
              <w:t>1575.00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引导产业基础再造和制造业高质量发展。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1575.00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1.引导产业基础再造和制造业高质量发展。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项目实施数量</w:t>
            </w:r>
          </w:p>
        </w:tc>
        <w:tc>
          <w:tcPr>
            <w:tcW w:w="5386" w:type="dxa"/>
            <w:vAlign w:val="center"/>
          </w:tcPr>
          <w:p>
            <w:pPr>
              <w:pStyle w:val="12"/>
            </w:pPr>
            <w:r>
              <w:t>重点支持产业基础再造和制造业高质量发展专项资金支持数量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符合产业结构调整指导目录</w:t>
            </w:r>
          </w:p>
        </w:tc>
        <w:tc>
          <w:tcPr>
            <w:tcW w:w="5386" w:type="dxa"/>
            <w:vAlign w:val="center"/>
          </w:tcPr>
          <w:p>
            <w:pPr>
              <w:pStyle w:val="12"/>
            </w:pPr>
            <w:r>
              <w:t>产业结构调整指导目录鼓励类项目</w:t>
            </w:r>
          </w:p>
        </w:tc>
        <w:tc>
          <w:tcPr>
            <w:tcW w:w="2268" w:type="dxa"/>
            <w:vAlign w:val="center"/>
          </w:tcPr>
          <w:p>
            <w:pPr>
              <w:pStyle w:val="12"/>
            </w:pPr>
            <w:r>
              <w:t>符合目录标准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p>
            <w:pPr>
              <w:pStyle w:val="12"/>
            </w:pPr>
          </w:p>
        </w:tc>
        <w:tc>
          <w:tcPr>
            <w:tcW w:w="5386" w:type="dxa"/>
            <w:vAlign w:val="center"/>
          </w:tcPr>
          <w:p>
            <w:pPr>
              <w:pStyle w:val="12"/>
            </w:pPr>
            <w:r>
              <w:t>专项资金拨付及时率</w:t>
            </w:r>
          </w:p>
          <w:p>
            <w:pPr>
              <w:pStyle w:val="12"/>
            </w:pP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资金额度可控</w:t>
            </w:r>
          </w:p>
        </w:tc>
        <w:tc>
          <w:tcPr>
            <w:tcW w:w="5386" w:type="dxa"/>
            <w:vAlign w:val="center"/>
          </w:tcPr>
          <w:p>
            <w:pPr>
              <w:pStyle w:val="12"/>
            </w:pPr>
            <w:r>
              <w:t>专项资金</w:t>
            </w:r>
          </w:p>
        </w:tc>
        <w:tc>
          <w:tcPr>
            <w:tcW w:w="2268" w:type="dxa"/>
            <w:vAlign w:val="center"/>
          </w:tcPr>
          <w:p>
            <w:pPr>
              <w:pStyle w:val="12"/>
            </w:pPr>
            <w:r>
              <w:t>1575万元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专项资金实现拉动社会投资</w:t>
            </w:r>
          </w:p>
        </w:tc>
        <w:tc>
          <w:tcPr>
            <w:tcW w:w="2268" w:type="dxa"/>
            <w:vAlign w:val="center"/>
          </w:tcPr>
          <w:p>
            <w:pPr>
              <w:pStyle w:val="12"/>
            </w:pPr>
            <w:r>
              <w:t>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对经济社会发展的影响</w:t>
            </w:r>
          </w:p>
        </w:tc>
        <w:tc>
          <w:tcPr>
            <w:tcW w:w="5386" w:type="dxa"/>
            <w:vAlign w:val="center"/>
          </w:tcPr>
          <w:p>
            <w:pPr>
              <w:pStyle w:val="12"/>
            </w:pPr>
            <w:r>
              <w:t>技改项目企业对经济社会发展的影响</w:t>
            </w:r>
          </w:p>
          <w:p>
            <w:pPr>
              <w:pStyle w:val="12"/>
            </w:pPr>
          </w:p>
        </w:tc>
        <w:tc>
          <w:tcPr>
            <w:tcW w:w="2268" w:type="dxa"/>
            <w:vAlign w:val="center"/>
          </w:tcPr>
          <w:p>
            <w:pPr>
              <w:pStyle w:val="12"/>
            </w:pPr>
            <w:r>
              <w:t>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对扶持企业进行满意度调查</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7、提前下达2026年科技企业研发投入后补助资金（冀财教【2025】136号）绩效目标表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13012826P00023910006L</w:t>
            </w:r>
          </w:p>
        </w:tc>
        <w:tc>
          <w:tcPr>
            <w:tcW w:w="2835" w:type="dxa"/>
            <w:vAlign w:val="center"/>
          </w:tcPr>
          <w:p>
            <w:pPr>
              <w:pStyle w:val="10"/>
            </w:pPr>
            <w:r>
              <w:t>项目名称</w:t>
            </w:r>
          </w:p>
        </w:tc>
        <w:tc>
          <w:tcPr>
            <w:tcW w:w="6095" w:type="dxa"/>
            <w:gridSpan w:val="3"/>
            <w:vAlign w:val="center"/>
          </w:tcPr>
          <w:p>
            <w:pPr>
              <w:pStyle w:val="12"/>
            </w:pPr>
            <w:r>
              <w:t>提前下达2026年科技企业研发投入后补助资金（冀财教【2025】136号）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10.32</w:t>
            </w:r>
          </w:p>
        </w:tc>
        <w:tc>
          <w:tcPr>
            <w:tcW w:w="2835" w:type="dxa"/>
            <w:vAlign w:val="center"/>
          </w:tcPr>
          <w:p>
            <w:pPr>
              <w:pStyle w:val="10"/>
            </w:pPr>
            <w:r>
              <w:t>其中：财政    资金</w:t>
            </w:r>
          </w:p>
        </w:tc>
        <w:tc>
          <w:tcPr>
            <w:tcW w:w="2551" w:type="dxa"/>
            <w:vAlign w:val="center"/>
          </w:tcPr>
          <w:p>
            <w:pPr>
              <w:pStyle w:val="12"/>
            </w:pPr>
            <w:r>
              <w:t>10.32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用于科技企业研发投入后补助资金。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1.推动全县县域科技创新能力提升。</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有效提升企业科技创新能力有效提升企业科技创新的积极性，增强创新能力≥90任务目标</w:t>
            </w:r>
          </w:p>
          <w:p>
            <w:pPr>
              <w:pStyle w:val="12"/>
            </w:pPr>
            <w:r>
              <w:t>高新技术企业数奖励有效期内及新认定高新技术企业，激发企业创新动力文字描述核实任务目标</w:t>
            </w:r>
          </w:p>
          <w:p>
            <w:pPr>
              <w:pStyle w:val="12"/>
            </w:pPr>
            <w:r>
              <w:t>专项资金拨付及时率技术创新引导专项资金及时拨付率≥90任务目标</w:t>
            </w:r>
          </w:p>
          <w:p>
            <w:pPr>
              <w:pStyle w:val="12"/>
            </w:pPr>
            <w:r>
              <w:t>补助标准财政科技资金安排产业创新补助标准≥3万元任务目标</w:t>
            </w:r>
          </w:p>
          <w:p>
            <w:pPr>
              <w:pStyle w:val="12"/>
            </w:pPr>
            <w:r>
              <w:t>经济发展影响县域创新对社会发展产生长期重要影响文字描述长期任务目标</w:t>
            </w:r>
          </w:p>
          <w:p>
            <w:pPr>
              <w:pStyle w:val="12"/>
            </w:pPr>
            <w:r>
              <w:t>科技创新服务支撑作用为科技创新活动提供服务支撑文字描述进一步提升任务目标</w:t>
            </w:r>
          </w:p>
          <w:p>
            <w:pPr>
              <w:pStyle w:val="12"/>
            </w:pPr>
            <w:r>
              <w:t>生态效益指标对环境的影响程度文字描述长期任务目标</w:t>
            </w:r>
          </w:p>
          <w:p>
            <w:pPr>
              <w:pStyle w:val="12"/>
            </w:pPr>
            <w:r>
              <w:t>科技创新能力科技创新能力文字描述进一步提升任务目标</w:t>
            </w:r>
          </w:p>
          <w:p>
            <w:pPr>
              <w:pStyle w:val="12"/>
            </w:pPr>
            <w:r>
              <w:t>服务对象满意度指标服务对象满意度指标≥90问卷调查</w:t>
            </w:r>
          </w:p>
          <w:p>
            <w:pPr>
              <w:pStyle w:val="12"/>
            </w:pPr>
          </w:p>
        </w:tc>
        <w:tc>
          <w:tcPr>
            <w:tcW w:w="5386" w:type="dxa"/>
            <w:vAlign w:val="center"/>
          </w:tcPr>
          <w:p>
            <w:pPr>
              <w:pStyle w:val="12"/>
            </w:pPr>
            <w:r>
              <w:t>有效提升企业科技创新的积极性，增强创新能力</w:t>
            </w:r>
          </w:p>
          <w:p>
            <w:pPr>
              <w:pStyle w:val="12"/>
            </w:pPr>
          </w:p>
        </w:tc>
        <w:tc>
          <w:tcPr>
            <w:tcW w:w="2268" w:type="dxa"/>
            <w:vAlign w:val="center"/>
          </w:tcPr>
          <w:p>
            <w:pPr>
              <w:pStyle w:val="12"/>
            </w:pPr>
            <w:r>
              <w:t>≥90</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补助企业数量</w:t>
            </w:r>
          </w:p>
        </w:tc>
        <w:tc>
          <w:tcPr>
            <w:tcW w:w="5386" w:type="dxa"/>
            <w:vAlign w:val="center"/>
          </w:tcPr>
          <w:p>
            <w:pPr>
              <w:pStyle w:val="12"/>
            </w:pPr>
            <w:r>
              <w:t>研发费用后补助涉及企业数量</w:t>
            </w:r>
          </w:p>
        </w:tc>
        <w:tc>
          <w:tcPr>
            <w:tcW w:w="2268" w:type="dxa"/>
            <w:vAlign w:val="center"/>
          </w:tcPr>
          <w:p>
            <w:pPr>
              <w:pStyle w:val="12"/>
            </w:pPr>
            <w:r>
              <w:t>≥1家</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p>
            <w:pPr>
              <w:pStyle w:val="12"/>
            </w:pPr>
          </w:p>
        </w:tc>
        <w:tc>
          <w:tcPr>
            <w:tcW w:w="5386" w:type="dxa"/>
            <w:vAlign w:val="center"/>
          </w:tcPr>
          <w:p>
            <w:pPr>
              <w:pStyle w:val="12"/>
            </w:pPr>
            <w:r>
              <w:t>技术创新引导专项资金及时拨付率</w:t>
            </w:r>
          </w:p>
          <w:p>
            <w:pPr>
              <w:pStyle w:val="12"/>
            </w:pPr>
          </w:p>
        </w:tc>
        <w:tc>
          <w:tcPr>
            <w:tcW w:w="2268" w:type="dxa"/>
            <w:vAlign w:val="center"/>
          </w:tcPr>
          <w:p>
            <w:pPr>
              <w:pStyle w:val="12"/>
            </w:pPr>
            <w:r>
              <w:t>≥90</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p>
            <w:pPr>
              <w:pStyle w:val="12"/>
            </w:pPr>
          </w:p>
        </w:tc>
        <w:tc>
          <w:tcPr>
            <w:tcW w:w="5386" w:type="dxa"/>
            <w:vAlign w:val="center"/>
          </w:tcPr>
          <w:p>
            <w:pPr>
              <w:pStyle w:val="12"/>
            </w:pPr>
            <w:r>
              <w:t>财政科技资金安排后补助资金</w:t>
            </w:r>
          </w:p>
          <w:p>
            <w:pPr>
              <w:pStyle w:val="12"/>
            </w:pPr>
          </w:p>
        </w:tc>
        <w:tc>
          <w:tcPr>
            <w:tcW w:w="2268" w:type="dxa"/>
            <w:vAlign w:val="center"/>
          </w:tcPr>
          <w:p>
            <w:pPr>
              <w:pStyle w:val="12"/>
            </w:pPr>
            <w:r>
              <w:t>≥103197元</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经济发展影响</w:t>
            </w:r>
          </w:p>
        </w:tc>
        <w:tc>
          <w:tcPr>
            <w:tcW w:w="5386" w:type="dxa"/>
            <w:vAlign w:val="center"/>
          </w:tcPr>
          <w:p>
            <w:pPr>
              <w:pStyle w:val="12"/>
            </w:pPr>
            <w:r>
              <w:t>县域创新对社会发展产生长期重要影响</w:t>
            </w:r>
          </w:p>
          <w:p>
            <w:pPr>
              <w:pStyle w:val="12"/>
            </w:pPr>
          </w:p>
        </w:tc>
        <w:tc>
          <w:tcPr>
            <w:tcW w:w="2268" w:type="dxa"/>
            <w:vAlign w:val="center"/>
          </w:tcPr>
          <w:p>
            <w:pPr>
              <w:pStyle w:val="12"/>
            </w:pPr>
            <w:r>
              <w:t>长期</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科技创新服务支撑作用</w:t>
            </w:r>
          </w:p>
        </w:tc>
        <w:tc>
          <w:tcPr>
            <w:tcW w:w="5386" w:type="dxa"/>
            <w:vAlign w:val="center"/>
          </w:tcPr>
          <w:p>
            <w:pPr>
              <w:pStyle w:val="12"/>
            </w:pPr>
            <w:r>
              <w:t>为科技创新活动提供服务支撑</w:t>
            </w:r>
          </w:p>
        </w:tc>
        <w:tc>
          <w:tcPr>
            <w:tcW w:w="2268" w:type="dxa"/>
            <w:vAlign w:val="center"/>
          </w:tcPr>
          <w:p>
            <w:pPr>
              <w:pStyle w:val="12"/>
            </w:pPr>
            <w:r>
              <w:t>进一步提升</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对环境的影响程度</w:t>
            </w:r>
          </w:p>
        </w:tc>
        <w:tc>
          <w:tcPr>
            <w:tcW w:w="2268" w:type="dxa"/>
            <w:vAlign w:val="center"/>
          </w:tcPr>
          <w:p>
            <w:pPr>
              <w:pStyle w:val="12"/>
            </w:pPr>
            <w:r>
              <w:t>长期</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科技创新能力</w:t>
            </w:r>
          </w:p>
        </w:tc>
        <w:tc>
          <w:tcPr>
            <w:tcW w:w="5386" w:type="dxa"/>
            <w:vAlign w:val="center"/>
          </w:tcPr>
          <w:p>
            <w:pPr>
              <w:pStyle w:val="12"/>
            </w:pPr>
            <w:r>
              <w:t>科技创新能力</w:t>
            </w:r>
          </w:p>
        </w:tc>
        <w:tc>
          <w:tcPr>
            <w:tcW w:w="2268" w:type="dxa"/>
            <w:vAlign w:val="center"/>
          </w:tcPr>
          <w:p>
            <w:pPr>
              <w:pStyle w:val="12"/>
            </w:pPr>
            <w:r>
              <w:t>进一步提升</w:t>
            </w:r>
          </w:p>
        </w:tc>
        <w:tc>
          <w:tcPr>
            <w:tcW w:w="1276" w:type="dxa"/>
            <w:vAlign w:val="center"/>
          </w:tcPr>
          <w:p>
            <w:pPr>
              <w:pStyle w:val="12"/>
            </w:pPr>
            <w:r>
              <w:t>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p>
            <w:pPr>
              <w:pStyle w:val="12"/>
            </w:pPr>
          </w:p>
        </w:tc>
        <w:tc>
          <w:tcPr>
            <w:tcW w:w="2268" w:type="dxa"/>
            <w:vAlign w:val="center"/>
          </w:tcPr>
          <w:p>
            <w:pPr>
              <w:pStyle w:val="12"/>
            </w:pPr>
            <w:r>
              <w:t>≥90</w:t>
            </w:r>
          </w:p>
        </w:tc>
        <w:tc>
          <w:tcPr>
            <w:tcW w:w="1276" w:type="dxa"/>
            <w:vAlign w:val="center"/>
          </w:tcPr>
          <w:p>
            <w:pPr>
              <w:pStyle w:val="12"/>
            </w:pPr>
            <w:r>
              <w:t>任务目标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8、提前下达2026年支持市县科技创新和科学普及专项资金（高新技术企业认定奖补）绩效目标表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13012826P000239100051</w:t>
            </w:r>
          </w:p>
        </w:tc>
        <w:tc>
          <w:tcPr>
            <w:tcW w:w="2835" w:type="dxa"/>
            <w:vAlign w:val="center"/>
          </w:tcPr>
          <w:p>
            <w:pPr>
              <w:pStyle w:val="10"/>
            </w:pPr>
            <w:r>
              <w:t>项目名称</w:t>
            </w:r>
          </w:p>
        </w:tc>
        <w:tc>
          <w:tcPr>
            <w:tcW w:w="6095" w:type="dxa"/>
            <w:gridSpan w:val="3"/>
            <w:vAlign w:val="center"/>
          </w:tcPr>
          <w:p>
            <w:pPr>
              <w:pStyle w:val="12"/>
            </w:pPr>
            <w:r>
              <w:t>提前下达2026年支持市县科技创新和科学普及专项资金（高新技术企业认定奖补）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用于2026年高新技术企业奖补资金。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1.国家高新技术企业培育取得新成效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奖励企业数量</w:t>
            </w:r>
          </w:p>
        </w:tc>
        <w:tc>
          <w:tcPr>
            <w:tcW w:w="5386" w:type="dxa"/>
            <w:vAlign w:val="center"/>
          </w:tcPr>
          <w:p>
            <w:pPr>
              <w:pStyle w:val="12"/>
            </w:pPr>
            <w:r>
              <w:t>奖励国家高新技术企业数量</w:t>
            </w:r>
          </w:p>
        </w:tc>
        <w:tc>
          <w:tcPr>
            <w:tcW w:w="2268" w:type="dxa"/>
            <w:vAlign w:val="center"/>
          </w:tcPr>
          <w:p>
            <w:pPr>
              <w:pStyle w:val="12"/>
            </w:pPr>
            <w:r>
              <w:t>≥1家</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被奖励企业符合条件</w:t>
            </w:r>
          </w:p>
        </w:tc>
        <w:tc>
          <w:tcPr>
            <w:tcW w:w="5386" w:type="dxa"/>
            <w:vAlign w:val="center"/>
          </w:tcPr>
          <w:p>
            <w:pPr>
              <w:pStyle w:val="12"/>
            </w:pPr>
            <w:r>
              <w:t>被奖励企业符合奖励条件</w:t>
            </w:r>
          </w:p>
        </w:tc>
        <w:tc>
          <w:tcPr>
            <w:tcW w:w="2268" w:type="dxa"/>
            <w:vAlign w:val="center"/>
          </w:tcPr>
          <w:p>
            <w:pPr>
              <w:pStyle w:val="12"/>
            </w:pPr>
            <w:r>
              <w:t>符合规定的奖励条件</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资金下达企业时间</w:t>
            </w:r>
          </w:p>
        </w:tc>
        <w:tc>
          <w:tcPr>
            <w:tcW w:w="5386" w:type="dxa"/>
            <w:vAlign w:val="center"/>
          </w:tcPr>
          <w:p>
            <w:pPr>
              <w:pStyle w:val="12"/>
            </w:pPr>
            <w:r>
              <w:t>资金按程序下达企业</w:t>
            </w:r>
          </w:p>
        </w:tc>
        <w:tc>
          <w:tcPr>
            <w:tcW w:w="2268" w:type="dxa"/>
            <w:vAlign w:val="center"/>
          </w:tcPr>
          <w:p>
            <w:pPr>
              <w:pStyle w:val="12"/>
            </w:pPr>
            <w:r>
              <w:t>2026年12月底前</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奖励标准</w:t>
            </w:r>
          </w:p>
        </w:tc>
        <w:tc>
          <w:tcPr>
            <w:tcW w:w="5386" w:type="dxa"/>
            <w:vAlign w:val="center"/>
          </w:tcPr>
          <w:p>
            <w:pPr>
              <w:pStyle w:val="12"/>
            </w:pPr>
            <w:r>
              <w:t>对每个国安家高新技术企业的奖励标准</w:t>
            </w:r>
          </w:p>
        </w:tc>
        <w:tc>
          <w:tcPr>
            <w:tcW w:w="2268" w:type="dxa"/>
            <w:vAlign w:val="center"/>
          </w:tcPr>
          <w:p>
            <w:pPr>
              <w:pStyle w:val="12"/>
            </w:pPr>
            <w:r>
              <w:t>10万元</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引进人才</w:t>
            </w:r>
          </w:p>
        </w:tc>
        <w:tc>
          <w:tcPr>
            <w:tcW w:w="5386" w:type="dxa"/>
            <w:vAlign w:val="center"/>
          </w:tcPr>
          <w:p>
            <w:pPr>
              <w:pStyle w:val="12"/>
            </w:pPr>
            <w:r>
              <w:t>培养、引进专业技术人才</w:t>
            </w:r>
          </w:p>
        </w:tc>
        <w:tc>
          <w:tcPr>
            <w:tcW w:w="2268" w:type="dxa"/>
            <w:vAlign w:val="center"/>
          </w:tcPr>
          <w:p>
            <w:pPr>
              <w:pStyle w:val="12"/>
            </w:pPr>
            <w:r>
              <w:t>≥1人</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促进我省企业技术创新能力提升</w:t>
            </w:r>
          </w:p>
        </w:tc>
        <w:tc>
          <w:tcPr>
            <w:tcW w:w="5386" w:type="dxa"/>
            <w:vAlign w:val="center"/>
          </w:tcPr>
          <w:p>
            <w:pPr>
              <w:pStyle w:val="12"/>
            </w:pPr>
            <w:r>
              <w:t>促进我省企业技术创新能力提升</w:t>
            </w:r>
          </w:p>
        </w:tc>
        <w:tc>
          <w:tcPr>
            <w:tcW w:w="2268" w:type="dxa"/>
            <w:vAlign w:val="center"/>
          </w:tcPr>
          <w:p>
            <w:pPr>
              <w:pStyle w:val="12"/>
            </w:pPr>
            <w:r>
              <w:t>进一步提升</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促进企业增收增产</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支持企业满意度</w:t>
            </w:r>
          </w:p>
        </w:tc>
        <w:tc>
          <w:tcPr>
            <w:tcW w:w="2268" w:type="dxa"/>
            <w:vAlign w:val="center"/>
          </w:tcPr>
          <w:p>
            <w:pPr>
              <w:pStyle w:val="12"/>
            </w:pPr>
            <w:r>
              <w:t>≥90百分比</w:t>
            </w:r>
          </w:p>
        </w:tc>
        <w:tc>
          <w:tcPr>
            <w:tcW w:w="1276" w:type="dxa"/>
            <w:vAlign w:val="center"/>
          </w:tcPr>
          <w:p>
            <w:pPr>
              <w:pStyle w:val="12"/>
            </w:pPr>
            <w:r>
              <w:t>按政策依据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9、提前下单2026年专精特新“小巨人”企业科技特派团支撑专项经费预算（冀财教【2025】136号）绩效目标表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13012826P000239100078</w:t>
            </w:r>
          </w:p>
        </w:tc>
        <w:tc>
          <w:tcPr>
            <w:tcW w:w="2835" w:type="dxa"/>
            <w:vAlign w:val="center"/>
          </w:tcPr>
          <w:p>
            <w:pPr>
              <w:pStyle w:val="10"/>
            </w:pPr>
            <w:r>
              <w:t>项目名称</w:t>
            </w:r>
          </w:p>
        </w:tc>
        <w:tc>
          <w:tcPr>
            <w:tcW w:w="6095" w:type="dxa"/>
            <w:gridSpan w:val="3"/>
            <w:vAlign w:val="center"/>
          </w:tcPr>
          <w:p>
            <w:pPr>
              <w:pStyle w:val="12"/>
            </w:pPr>
            <w:r>
              <w:t>提前下单2026年专精特新“小巨人”企业科技特派团支撑专项经费预算（冀财教【2025】136号）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用于科技特派团工作费补助。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1.专精特新“小巨人”企业科技特派团支撑专项经费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专精特新“小巨人”企业科技特派团支撑专项经费</w:t>
            </w:r>
          </w:p>
        </w:tc>
        <w:tc>
          <w:tcPr>
            <w:tcW w:w="5386" w:type="dxa"/>
            <w:vAlign w:val="center"/>
          </w:tcPr>
          <w:p>
            <w:pPr>
              <w:pStyle w:val="12"/>
            </w:pPr>
            <w:r>
              <w:t>新增高新技术企业数量</w:t>
            </w:r>
          </w:p>
        </w:tc>
        <w:tc>
          <w:tcPr>
            <w:tcW w:w="2268" w:type="dxa"/>
            <w:vAlign w:val="center"/>
          </w:tcPr>
          <w:p>
            <w:pPr>
              <w:pStyle w:val="12"/>
            </w:pPr>
            <w:r>
              <w:t>≥1家</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企业科技特派团支撑专项经费</w:t>
            </w:r>
          </w:p>
        </w:tc>
        <w:tc>
          <w:tcPr>
            <w:tcW w:w="5386" w:type="dxa"/>
            <w:vAlign w:val="center"/>
          </w:tcPr>
          <w:p>
            <w:pPr>
              <w:pStyle w:val="12"/>
            </w:pPr>
            <w:r>
              <w:t>科技特派团工作经费补助</w:t>
            </w:r>
          </w:p>
        </w:tc>
        <w:tc>
          <w:tcPr>
            <w:tcW w:w="2268" w:type="dxa"/>
            <w:vAlign w:val="center"/>
          </w:tcPr>
          <w:p>
            <w:pPr>
              <w:pStyle w:val="12"/>
            </w:pPr>
            <w:r>
              <w:t>≥8万元</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拨付率</w:t>
            </w:r>
          </w:p>
        </w:tc>
        <w:tc>
          <w:tcPr>
            <w:tcW w:w="5386" w:type="dxa"/>
            <w:vAlign w:val="center"/>
          </w:tcPr>
          <w:p>
            <w:pPr>
              <w:pStyle w:val="12"/>
            </w:pPr>
            <w:r>
              <w:t>及时拨付率</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覆盖率</w:t>
            </w:r>
          </w:p>
        </w:tc>
        <w:tc>
          <w:tcPr>
            <w:tcW w:w="5386" w:type="dxa"/>
            <w:vAlign w:val="center"/>
          </w:tcPr>
          <w:p>
            <w:pPr>
              <w:pStyle w:val="12"/>
            </w:pPr>
            <w:r>
              <w:t>活动覆盖率</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引进人才</w:t>
            </w:r>
          </w:p>
        </w:tc>
        <w:tc>
          <w:tcPr>
            <w:tcW w:w="5386" w:type="dxa"/>
            <w:vAlign w:val="center"/>
          </w:tcPr>
          <w:p>
            <w:pPr>
              <w:pStyle w:val="12"/>
            </w:pPr>
            <w:r>
              <w:t>培养、引进专业技术人才</w:t>
            </w:r>
          </w:p>
        </w:tc>
        <w:tc>
          <w:tcPr>
            <w:tcW w:w="2268" w:type="dxa"/>
            <w:vAlign w:val="center"/>
          </w:tcPr>
          <w:p>
            <w:pPr>
              <w:pStyle w:val="12"/>
            </w:pPr>
            <w:r>
              <w:t>≥1人</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带动企业，增强就业率</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促进企业增收增产</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科技信息能力不断增强</w:t>
            </w:r>
          </w:p>
        </w:tc>
        <w:tc>
          <w:tcPr>
            <w:tcW w:w="2268" w:type="dxa"/>
            <w:vAlign w:val="center"/>
          </w:tcPr>
          <w:p>
            <w:pPr>
              <w:pStyle w:val="12"/>
            </w:pPr>
            <w:r>
              <w:t>≥90%</w:t>
            </w:r>
          </w:p>
        </w:tc>
        <w:tc>
          <w:tcPr>
            <w:tcW w:w="1276" w:type="dxa"/>
            <w:vAlign w:val="center"/>
          </w:tcPr>
          <w:p>
            <w:pPr>
              <w:pStyle w:val="12"/>
            </w:pPr>
            <w:r>
              <w:t>按政策依据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按政策依据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深泽县科学技术和工业信息化局本级小计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15</w:t>
            </w:r>
          </w:p>
        </w:tc>
        <w:tc>
          <w:tcPr>
            <w:tcW w:w="850" w:type="dxa"/>
            <w:vAlign w:val="center"/>
          </w:tcPr>
          <w:p>
            <w:pPr>
              <w:pStyle w:val="11"/>
            </w:pPr>
            <w:r>
              <w:t>0.02</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深泽县科学技术和工业信息化局本级上年末固定资产金额为18.70万元（详见下表）。本年度拟购置固定资产总额为0.00万元，已按要求列入政府采购预算，详见政府采购预算表。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306001深泽县科学技术和工业信息化局本级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60086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11080</Words>
  <Characters>13170</Characters>
  <TotalTime>2</TotalTime>
  <ScaleCrop>false</ScaleCrop>
  <LinksUpToDate>false</LinksUpToDate>
  <CharactersWithSpaces>13362</CharactersWithSpaces>
  <Application>WPS Office_11.8.2.12187_F1E327BC-269C-435d-A152-05C5408002CA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2026-02-11T10:36:00Z</dcterms:created>
  <dc:creator>Administrator</dc:creator>
  <cp:lastModifiedBy>Administrator</cp:lastModifiedBy>
  <dcterms:modified xsi:type="dcterms:W3CDTF">2026-02-11T02:40:36Z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2052-11.8.2.12187</vt:lpwstr>
  </property>
  <property fmtid="{D5CDD505-2E9C-101B-9397-08002B2CF9AE}" pid="3" name="ICV">
    <vt:lpwstr>97B14807F14543CF99C2B3CEA7B880EB</vt:lpwstr>
  </property>
</Properties>
</file>