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一、深泽县融媒体中心本级收支预算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一、深泽县融媒体中心本级收支预算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359001深泽县融媒体中心本级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429.70</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r>
              <w:t>999.70</w:t>
            </w: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429.70</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999.70</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r>
              <w:t>570.00</w:t>
            </w: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999.70</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999.70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359001深泽县融媒体中心本级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999.70</w:t>
            </w:r>
          </w:p>
        </w:tc>
        <w:tc>
          <w:tcPr>
            <w:tcW w:w="1134" w:type="dxa"/>
            <w:tcBorders>
              <w:left w:val="single" w:sz="6" w:space="0" w:color="000000"/>
              <w:right w:val="single" w:sz="6" w:space="0" w:color="000000"/>
            </w:tcBorders>
            <w:vAlign w:val="center"/>
          </w:tcPr>
          <w:p>
            <w:pPr>
              <w:pStyle w:val="23"/>
            </w:pPr>
            <w:r>
              <w:t>429.70</w:t>
            </w:r>
          </w:p>
        </w:tc>
        <w:tc>
          <w:tcPr>
            <w:tcW w:w="1134" w:type="dxa"/>
            <w:tcBorders>
              <w:left w:val="single" w:sz="6" w:space="0" w:color="000000"/>
              <w:right w:val="single" w:sz="6" w:space="0" w:color="000000"/>
            </w:tcBorders>
            <w:vAlign w:val="center"/>
          </w:tcPr>
          <w:p>
            <w:pPr>
              <w:pStyle w:val="23"/>
            </w:pPr>
            <w:r>
              <w:t>429.70</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r>
              <w:t>570.00</w:t>
            </w: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207</w:t>
            </w:r>
          </w:p>
        </w:tc>
        <w:tc>
          <w:tcPr>
            <w:tcW w:w="1559" w:type="dxa"/>
            <w:tcBorders>
              <w:left w:val="single" w:sz="6" w:space="0" w:color="000000"/>
              <w:right w:val="single" w:sz="6" w:space="0" w:color="000000"/>
            </w:tcBorders>
            <w:vAlign w:val="center"/>
          </w:tcPr>
          <w:p>
            <w:pPr>
              <w:pStyle w:val="20"/>
            </w:pPr>
            <w:r>
              <w:t>文化旅游体育与传媒支出</w:t>
            </w:r>
          </w:p>
        </w:tc>
        <w:tc>
          <w:tcPr>
            <w:tcW w:w="1134" w:type="dxa"/>
            <w:tcBorders>
              <w:left w:val="single" w:sz="6" w:space="0" w:color="000000"/>
              <w:right w:val="single" w:sz="6" w:space="0" w:color="000000"/>
            </w:tcBorders>
            <w:vAlign w:val="center"/>
          </w:tcPr>
          <w:p>
            <w:pPr>
              <w:pStyle w:val="19"/>
            </w:pPr>
            <w:r>
              <w:t>999.70</w:t>
            </w:r>
          </w:p>
        </w:tc>
        <w:tc>
          <w:tcPr>
            <w:tcW w:w="1134" w:type="dxa"/>
            <w:tcBorders>
              <w:left w:val="single" w:sz="6" w:space="0" w:color="000000"/>
              <w:right w:val="single" w:sz="6" w:space="0" w:color="000000"/>
            </w:tcBorders>
            <w:vAlign w:val="center"/>
          </w:tcPr>
          <w:p>
            <w:pPr>
              <w:pStyle w:val="19"/>
            </w:pPr>
            <w:r>
              <w:t>429.70</w:t>
            </w:r>
          </w:p>
        </w:tc>
        <w:tc>
          <w:tcPr>
            <w:tcW w:w="1134" w:type="dxa"/>
            <w:tcBorders>
              <w:left w:val="single" w:sz="6" w:space="0" w:color="000000"/>
              <w:right w:val="single" w:sz="6" w:space="0" w:color="000000"/>
            </w:tcBorders>
            <w:vAlign w:val="center"/>
          </w:tcPr>
          <w:p>
            <w:pPr>
              <w:pStyle w:val="19"/>
            </w:pPr>
            <w:r>
              <w:t>429.70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570.00</w:t>
            </w: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20708</w:t>
            </w:r>
          </w:p>
        </w:tc>
        <w:tc>
          <w:tcPr>
            <w:tcW w:w="1559" w:type="dxa"/>
            <w:tcBorders>
              <w:left w:val="single" w:sz="6" w:space="0" w:color="000000"/>
              <w:right w:val="single" w:sz="6" w:space="0" w:color="000000"/>
            </w:tcBorders>
            <w:vAlign w:val="center"/>
          </w:tcPr>
          <w:p>
            <w:pPr>
              <w:pStyle w:val="20"/>
            </w:pPr>
            <w:r>
              <w:t>广播电视</w:t>
            </w:r>
          </w:p>
        </w:tc>
        <w:tc>
          <w:tcPr>
            <w:tcW w:w="1134" w:type="dxa"/>
            <w:tcBorders>
              <w:left w:val="single" w:sz="6" w:space="0" w:color="000000"/>
              <w:right w:val="single" w:sz="6" w:space="0" w:color="000000"/>
            </w:tcBorders>
            <w:vAlign w:val="center"/>
          </w:tcPr>
          <w:p>
            <w:pPr>
              <w:pStyle w:val="19"/>
            </w:pPr>
            <w:r>
              <w:t>976.00</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570.00</w:t>
            </w: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2070801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r>
              <w:t>406.00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2070899</w:t>
            </w:r>
          </w:p>
        </w:tc>
        <w:tc>
          <w:tcPr>
            <w:tcW w:w="1559" w:type="dxa"/>
            <w:tcBorders>
              <w:left w:val="single" w:sz="6" w:space="0" w:color="000000"/>
              <w:right w:val="single" w:sz="6" w:space="0" w:color="000000"/>
            </w:tcBorders>
            <w:vAlign w:val="center"/>
          </w:tcPr>
          <w:p>
            <w:pPr>
              <w:pStyle w:val="20"/>
            </w:pPr>
            <w:r>
              <w:t>其他广播电视支出</w:t>
            </w:r>
          </w:p>
        </w:tc>
        <w:tc>
          <w:tcPr>
            <w:tcW w:w="1134" w:type="dxa"/>
            <w:tcBorders>
              <w:left w:val="single" w:sz="6" w:space="0" w:color="000000"/>
              <w:right w:val="single" w:sz="6" w:space="0" w:color="000000"/>
            </w:tcBorders>
            <w:vAlign w:val="center"/>
          </w:tcPr>
          <w:p>
            <w:pPr>
              <w:pStyle w:val="19"/>
            </w:pPr>
            <w:r>
              <w:t>570.00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570.00</w:t>
            </w: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20799</w:t>
            </w:r>
          </w:p>
        </w:tc>
        <w:tc>
          <w:tcPr>
            <w:tcW w:w="1559" w:type="dxa"/>
            <w:tcBorders>
              <w:left w:val="single" w:sz="6" w:space="0" w:color="000000"/>
              <w:right w:val="single" w:sz="6" w:space="0" w:color="000000"/>
            </w:tcBorders>
            <w:vAlign w:val="center"/>
          </w:tcPr>
          <w:p>
            <w:pPr>
              <w:pStyle w:val="20"/>
            </w:pPr>
            <w:r>
              <w:t>其他文化旅游体育与传媒支出</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2079999</w:t>
            </w:r>
          </w:p>
        </w:tc>
        <w:tc>
          <w:tcPr>
            <w:tcW w:w="1559" w:type="dxa"/>
            <w:tcBorders>
              <w:left w:val="single" w:sz="6" w:space="0" w:color="000000"/>
              <w:right w:val="single" w:sz="6" w:space="0" w:color="000000"/>
            </w:tcBorders>
            <w:vAlign w:val="center"/>
          </w:tcPr>
          <w:p>
            <w:pPr>
              <w:pStyle w:val="20"/>
            </w:pPr>
            <w:r>
              <w:t>其他文化旅游体育与传媒支出</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r>
              <w:t>23.70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999.70</w:t>
            </w:r>
          </w:p>
        </w:tc>
        <w:tc>
          <w:tcPr>
            <w:tcW w:w="1361" w:type="dxa"/>
            <w:tcBorders>
              <w:left w:val="single" w:sz="6" w:space="0" w:color="000000"/>
              <w:right w:val="single" w:sz="6" w:space="0" w:color="000000"/>
            </w:tcBorders>
            <w:vAlign w:val="center"/>
          </w:tcPr>
          <w:p>
            <w:pPr>
              <w:pStyle w:val="23"/>
            </w:pPr>
            <w:r>
              <w:t>406.00</w:t>
            </w:r>
          </w:p>
        </w:tc>
        <w:tc>
          <w:tcPr>
            <w:tcW w:w="1361" w:type="dxa"/>
            <w:tcBorders>
              <w:left w:val="single" w:sz="6" w:space="0" w:color="000000"/>
              <w:right w:val="single" w:sz="6" w:space="0" w:color="000000"/>
            </w:tcBorders>
            <w:vAlign w:val="center"/>
          </w:tcPr>
          <w:p>
            <w:pPr>
              <w:pStyle w:val="23"/>
            </w:pPr>
            <w:r>
              <w:t>593.70</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207</w:t>
            </w:r>
          </w:p>
        </w:tc>
        <w:tc>
          <w:tcPr>
            <w:tcW w:w="4535" w:type="dxa"/>
            <w:tcBorders>
              <w:left w:val="single" w:sz="6" w:space="0" w:color="000000"/>
              <w:right w:val="single" w:sz="6" w:space="0" w:color="000000"/>
            </w:tcBorders>
            <w:vAlign w:val="center"/>
          </w:tcPr>
          <w:p>
            <w:pPr>
              <w:pStyle w:val="20"/>
            </w:pPr>
            <w:r>
              <w:t>文化旅游体育与传媒支出</w:t>
            </w:r>
          </w:p>
        </w:tc>
        <w:tc>
          <w:tcPr>
            <w:tcW w:w="1361" w:type="dxa"/>
            <w:tcBorders>
              <w:left w:val="single" w:sz="6" w:space="0" w:color="000000"/>
              <w:right w:val="single" w:sz="6" w:space="0" w:color="000000"/>
            </w:tcBorders>
            <w:vAlign w:val="center"/>
          </w:tcPr>
          <w:p>
            <w:pPr>
              <w:pStyle w:val="19"/>
            </w:pPr>
            <w:r>
              <w:t>999.70</w:t>
            </w:r>
          </w:p>
        </w:tc>
        <w:tc>
          <w:tcPr>
            <w:tcW w:w="1361" w:type="dxa"/>
            <w:tcBorders>
              <w:left w:val="single" w:sz="6" w:space="0" w:color="000000"/>
              <w:right w:val="single" w:sz="6" w:space="0" w:color="000000"/>
            </w:tcBorders>
            <w:vAlign w:val="center"/>
          </w:tcPr>
          <w:p>
            <w:pPr>
              <w:pStyle w:val="19"/>
            </w:pPr>
            <w:r>
              <w:t>406.00</w:t>
            </w:r>
          </w:p>
        </w:tc>
        <w:tc>
          <w:tcPr>
            <w:tcW w:w="1361" w:type="dxa"/>
            <w:tcBorders>
              <w:left w:val="single" w:sz="6" w:space="0" w:color="000000"/>
              <w:right w:val="single" w:sz="6" w:space="0" w:color="000000"/>
            </w:tcBorders>
            <w:vAlign w:val="center"/>
          </w:tcPr>
          <w:p>
            <w:pPr>
              <w:pStyle w:val="19"/>
            </w:pPr>
            <w:r>
              <w:t>593.70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20708</w:t>
            </w:r>
          </w:p>
        </w:tc>
        <w:tc>
          <w:tcPr>
            <w:tcW w:w="4535" w:type="dxa"/>
            <w:tcBorders>
              <w:left w:val="single" w:sz="6" w:space="0" w:color="000000"/>
              <w:right w:val="single" w:sz="6" w:space="0" w:color="000000"/>
            </w:tcBorders>
            <w:vAlign w:val="center"/>
          </w:tcPr>
          <w:p>
            <w:pPr>
              <w:pStyle w:val="20"/>
            </w:pPr>
            <w:r>
              <w:t>广播电视</w:t>
            </w:r>
          </w:p>
        </w:tc>
        <w:tc>
          <w:tcPr>
            <w:tcW w:w="1361" w:type="dxa"/>
            <w:tcBorders>
              <w:left w:val="single" w:sz="6" w:space="0" w:color="000000"/>
              <w:right w:val="single" w:sz="6" w:space="0" w:color="000000"/>
            </w:tcBorders>
            <w:vAlign w:val="center"/>
          </w:tcPr>
          <w:p>
            <w:pPr>
              <w:pStyle w:val="19"/>
            </w:pPr>
            <w:r>
              <w:t>976.00</w:t>
            </w:r>
          </w:p>
        </w:tc>
        <w:tc>
          <w:tcPr>
            <w:tcW w:w="1361" w:type="dxa"/>
            <w:tcBorders>
              <w:left w:val="single" w:sz="6" w:space="0" w:color="000000"/>
              <w:right w:val="single" w:sz="6" w:space="0" w:color="000000"/>
            </w:tcBorders>
            <w:vAlign w:val="center"/>
          </w:tcPr>
          <w:p>
            <w:pPr>
              <w:pStyle w:val="19"/>
            </w:pPr>
            <w:r>
              <w:t>406.00</w:t>
            </w:r>
          </w:p>
        </w:tc>
        <w:tc>
          <w:tcPr>
            <w:tcW w:w="1361" w:type="dxa"/>
            <w:tcBorders>
              <w:left w:val="single" w:sz="6" w:space="0" w:color="000000"/>
              <w:right w:val="single" w:sz="6" w:space="0" w:color="000000"/>
            </w:tcBorders>
            <w:vAlign w:val="center"/>
          </w:tcPr>
          <w:p>
            <w:pPr>
              <w:pStyle w:val="19"/>
            </w:pPr>
            <w:r>
              <w:t>570.00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2070801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406.00</w:t>
            </w:r>
          </w:p>
        </w:tc>
        <w:tc>
          <w:tcPr>
            <w:tcW w:w="1361" w:type="dxa"/>
            <w:tcBorders>
              <w:left w:val="single" w:sz="6" w:space="0" w:color="000000"/>
              <w:right w:val="single" w:sz="6" w:space="0" w:color="000000"/>
            </w:tcBorders>
            <w:vAlign w:val="center"/>
          </w:tcPr>
          <w:p>
            <w:pPr>
              <w:pStyle w:val="19"/>
            </w:pPr>
            <w:r>
              <w:t>406.00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2070899</w:t>
            </w:r>
          </w:p>
        </w:tc>
        <w:tc>
          <w:tcPr>
            <w:tcW w:w="4535" w:type="dxa"/>
            <w:tcBorders>
              <w:left w:val="single" w:sz="6" w:space="0" w:color="000000"/>
              <w:right w:val="single" w:sz="6" w:space="0" w:color="000000"/>
            </w:tcBorders>
            <w:vAlign w:val="center"/>
          </w:tcPr>
          <w:p>
            <w:pPr>
              <w:pStyle w:val="20"/>
            </w:pPr>
            <w:r>
              <w:t>其他广播电视支出</w:t>
            </w:r>
          </w:p>
        </w:tc>
        <w:tc>
          <w:tcPr>
            <w:tcW w:w="1361" w:type="dxa"/>
            <w:tcBorders>
              <w:left w:val="single" w:sz="6" w:space="0" w:color="000000"/>
              <w:right w:val="single" w:sz="6" w:space="0" w:color="000000"/>
            </w:tcBorders>
            <w:vAlign w:val="center"/>
          </w:tcPr>
          <w:p>
            <w:pPr>
              <w:pStyle w:val="19"/>
            </w:pPr>
            <w:r>
              <w:t>570.00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570.00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20799</w:t>
            </w:r>
          </w:p>
        </w:tc>
        <w:tc>
          <w:tcPr>
            <w:tcW w:w="4535" w:type="dxa"/>
            <w:tcBorders>
              <w:left w:val="single" w:sz="6" w:space="0" w:color="000000"/>
              <w:right w:val="single" w:sz="6" w:space="0" w:color="000000"/>
            </w:tcBorders>
            <w:vAlign w:val="center"/>
          </w:tcPr>
          <w:p>
            <w:pPr>
              <w:pStyle w:val="20"/>
            </w:pPr>
            <w:r>
              <w:t>其他文化旅游体育与传媒支出</w:t>
            </w:r>
          </w:p>
        </w:tc>
        <w:tc>
          <w:tcPr>
            <w:tcW w:w="1361" w:type="dxa"/>
            <w:tcBorders>
              <w:left w:val="single" w:sz="6" w:space="0" w:color="000000"/>
              <w:right w:val="single" w:sz="6" w:space="0" w:color="000000"/>
            </w:tcBorders>
            <w:vAlign w:val="center"/>
          </w:tcPr>
          <w:p>
            <w:pPr>
              <w:pStyle w:val="19"/>
            </w:pPr>
            <w:r>
              <w:t>23.70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2079999</w:t>
            </w:r>
          </w:p>
        </w:tc>
        <w:tc>
          <w:tcPr>
            <w:tcW w:w="4535" w:type="dxa"/>
            <w:tcBorders>
              <w:left w:val="single" w:sz="6" w:space="0" w:color="000000"/>
              <w:right w:val="single" w:sz="6" w:space="0" w:color="000000"/>
            </w:tcBorders>
            <w:vAlign w:val="center"/>
          </w:tcPr>
          <w:p>
            <w:pPr>
              <w:pStyle w:val="20"/>
            </w:pPr>
            <w:r>
              <w:t>其他文化旅游体育与传媒支出</w:t>
            </w:r>
          </w:p>
        </w:tc>
        <w:tc>
          <w:tcPr>
            <w:tcW w:w="1361" w:type="dxa"/>
            <w:tcBorders>
              <w:left w:val="single" w:sz="6" w:space="0" w:color="000000"/>
              <w:right w:val="single" w:sz="6" w:space="0" w:color="000000"/>
            </w:tcBorders>
            <w:vAlign w:val="center"/>
          </w:tcPr>
          <w:p>
            <w:pPr>
              <w:pStyle w:val="19"/>
            </w:pPr>
            <w:r>
              <w:t>23.70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23.70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429.70</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r>
              <w:t>999.70</w:t>
            </w:r>
          </w:p>
        </w:tc>
        <w:tc>
          <w:tcPr>
            <w:tcW w:w="1474" w:type="dxa"/>
            <w:tcBorders>
              <w:left w:val="single" w:sz="6" w:space="0" w:color="000000"/>
              <w:right w:val="single" w:sz="6" w:space="0" w:color="000000"/>
            </w:tcBorders>
            <w:vAlign w:val="center"/>
          </w:tcPr>
          <w:p>
            <w:pPr>
              <w:pStyle w:val="19"/>
            </w:pPr>
            <w:r>
              <w:t>999.70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429.70</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999.70</w:t>
            </w:r>
          </w:p>
        </w:tc>
        <w:tc>
          <w:tcPr>
            <w:tcW w:w="1474" w:type="dxa"/>
            <w:tcBorders>
              <w:left w:val="single" w:sz="6" w:space="0" w:color="000000"/>
              <w:right w:val="single" w:sz="6" w:space="0" w:color="000000"/>
            </w:tcBorders>
            <w:vAlign w:val="center"/>
          </w:tcPr>
          <w:p>
            <w:pPr>
              <w:pStyle w:val="23"/>
            </w:pPr>
            <w:r>
              <w:t>999.70</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r>
              <w:t>570.00</w:t>
            </w: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570.00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999.70</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999.70</w:t>
            </w:r>
          </w:p>
        </w:tc>
        <w:tc>
          <w:tcPr>
            <w:tcW w:w="1474" w:type="dxa"/>
            <w:tcBorders>
              <w:left w:val="single" w:sz="6" w:space="0" w:color="000000"/>
              <w:right w:val="single" w:sz="6" w:space="0" w:color="000000"/>
            </w:tcBorders>
            <w:vAlign w:val="center"/>
          </w:tcPr>
          <w:p>
            <w:pPr>
              <w:pStyle w:val="23"/>
            </w:pPr>
            <w:r>
              <w:t>999.70</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999.70</w:t>
            </w:r>
          </w:p>
        </w:tc>
        <w:tc>
          <w:tcPr>
            <w:tcW w:w="2551" w:type="dxa"/>
            <w:tcBorders>
              <w:left w:val="single" w:sz="6" w:space="0" w:color="000000"/>
              <w:right w:val="single" w:sz="6" w:space="0" w:color="000000"/>
            </w:tcBorders>
            <w:vAlign w:val="center"/>
          </w:tcPr>
          <w:p>
            <w:pPr>
              <w:pStyle w:val="23"/>
            </w:pPr>
            <w:r>
              <w:t>406.00</w:t>
            </w:r>
          </w:p>
        </w:tc>
        <w:tc>
          <w:tcPr>
            <w:tcW w:w="2551" w:type="dxa"/>
            <w:vAlign w:val="center"/>
          </w:tcPr>
          <w:p>
            <w:pPr>
              <w:pStyle w:val="23"/>
            </w:pPr>
            <w:r>
              <w:t>593.70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207</w:t>
            </w:r>
          </w:p>
        </w:tc>
        <w:tc>
          <w:tcPr>
            <w:tcW w:w="4535" w:type="dxa"/>
            <w:tcBorders>
              <w:left w:val="single" w:sz="6" w:space="0" w:color="000000"/>
              <w:right w:val="single" w:sz="6" w:space="0" w:color="000000"/>
            </w:tcBorders>
            <w:vAlign w:val="center"/>
          </w:tcPr>
          <w:p>
            <w:pPr>
              <w:pStyle w:val="20"/>
            </w:pPr>
            <w:r>
              <w:t>文化旅游体育与传媒支出</w:t>
            </w:r>
          </w:p>
        </w:tc>
        <w:tc>
          <w:tcPr>
            <w:tcW w:w="2551" w:type="dxa"/>
            <w:tcBorders>
              <w:left w:val="single" w:sz="6" w:space="0" w:color="000000"/>
              <w:right w:val="single" w:sz="6" w:space="0" w:color="000000"/>
            </w:tcBorders>
            <w:vAlign w:val="center"/>
          </w:tcPr>
          <w:p>
            <w:pPr>
              <w:pStyle w:val="19"/>
            </w:pPr>
            <w:r>
              <w:t>999.70</w:t>
            </w:r>
          </w:p>
        </w:tc>
        <w:tc>
          <w:tcPr>
            <w:tcW w:w="2551" w:type="dxa"/>
            <w:tcBorders>
              <w:left w:val="single" w:sz="6" w:space="0" w:color="000000"/>
              <w:right w:val="single" w:sz="6" w:space="0" w:color="000000"/>
            </w:tcBorders>
            <w:vAlign w:val="center"/>
          </w:tcPr>
          <w:p>
            <w:pPr>
              <w:pStyle w:val="19"/>
            </w:pPr>
            <w:r>
              <w:t>406.00</w:t>
            </w:r>
          </w:p>
        </w:tc>
        <w:tc>
          <w:tcPr>
            <w:tcW w:w="2551" w:type="dxa"/>
            <w:vAlign w:val="center"/>
          </w:tcPr>
          <w:p>
            <w:pPr>
              <w:pStyle w:val="19"/>
            </w:pPr>
            <w:r>
              <w:t>593.70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20708</w:t>
            </w:r>
          </w:p>
        </w:tc>
        <w:tc>
          <w:tcPr>
            <w:tcW w:w="4535" w:type="dxa"/>
            <w:tcBorders>
              <w:left w:val="single" w:sz="6" w:space="0" w:color="000000"/>
              <w:right w:val="single" w:sz="6" w:space="0" w:color="000000"/>
            </w:tcBorders>
            <w:vAlign w:val="center"/>
          </w:tcPr>
          <w:p>
            <w:pPr>
              <w:pStyle w:val="20"/>
            </w:pPr>
            <w:r>
              <w:t>广播电视</w:t>
            </w:r>
          </w:p>
        </w:tc>
        <w:tc>
          <w:tcPr>
            <w:tcW w:w="2551" w:type="dxa"/>
            <w:tcBorders>
              <w:left w:val="single" w:sz="6" w:space="0" w:color="000000"/>
              <w:right w:val="single" w:sz="6" w:space="0" w:color="000000"/>
            </w:tcBorders>
            <w:vAlign w:val="center"/>
          </w:tcPr>
          <w:p>
            <w:pPr>
              <w:pStyle w:val="19"/>
            </w:pPr>
            <w:r>
              <w:t>976.00</w:t>
            </w:r>
          </w:p>
        </w:tc>
        <w:tc>
          <w:tcPr>
            <w:tcW w:w="2551" w:type="dxa"/>
            <w:tcBorders>
              <w:left w:val="single" w:sz="6" w:space="0" w:color="000000"/>
              <w:right w:val="single" w:sz="6" w:space="0" w:color="000000"/>
            </w:tcBorders>
            <w:vAlign w:val="center"/>
          </w:tcPr>
          <w:p>
            <w:pPr>
              <w:pStyle w:val="19"/>
            </w:pPr>
            <w:r>
              <w:t>406.00</w:t>
            </w:r>
          </w:p>
        </w:tc>
        <w:tc>
          <w:tcPr>
            <w:tcW w:w="2551" w:type="dxa"/>
            <w:vAlign w:val="center"/>
          </w:tcPr>
          <w:p>
            <w:pPr>
              <w:pStyle w:val="19"/>
            </w:pPr>
            <w:r>
              <w:t>570.00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2070801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406.00</w:t>
            </w:r>
          </w:p>
        </w:tc>
        <w:tc>
          <w:tcPr>
            <w:tcW w:w="2551" w:type="dxa"/>
            <w:tcBorders>
              <w:left w:val="single" w:sz="6" w:space="0" w:color="000000"/>
              <w:right w:val="single" w:sz="6" w:space="0" w:color="000000"/>
            </w:tcBorders>
            <w:vAlign w:val="center"/>
          </w:tcPr>
          <w:p>
            <w:pPr>
              <w:pStyle w:val="19"/>
            </w:pPr>
            <w:r>
              <w:t>406.00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2070899</w:t>
            </w:r>
          </w:p>
        </w:tc>
        <w:tc>
          <w:tcPr>
            <w:tcW w:w="4535" w:type="dxa"/>
            <w:tcBorders>
              <w:left w:val="single" w:sz="6" w:space="0" w:color="000000"/>
              <w:right w:val="single" w:sz="6" w:space="0" w:color="000000"/>
            </w:tcBorders>
            <w:vAlign w:val="center"/>
          </w:tcPr>
          <w:p>
            <w:pPr>
              <w:pStyle w:val="20"/>
            </w:pPr>
            <w:r>
              <w:t>其他广播电视支出</w:t>
            </w:r>
          </w:p>
        </w:tc>
        <w:tc>
          <w:tcPr>
            <w:tcW w:w="2551" w:type="dxa"/>
            <w:tcBorders>
              <w:left w:val="single" w:sz="6" w:space="0" w:color="000000"/>
              <w:right w:val="single" w:sz="6" w:space="0" w:color="000000"/>
            </w:tcBorders>
            <w:vAlign w:val="center"/>
          </w:tcPr>
          <w:p>
            <w:pPr>
              <w:pStyle w:val="19"/>
            </w:pPr>
            <w:r>
              <w:t>570.00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570.00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20799</w:t>
            </w:r>
          </w:p>
        </w:tc>
        <w:tc>
          <w:tcPr>
            <w:tcW w:w="4535" w:type="dxa"/>
            <w:tcBorders>
              <w:left w:val="single" w:sz="6" w:space="0" w:color="000000"/>
              <w:right w:val="single" w:sz="6" w:space="0" w:color="000000"/>
            </w:tcBorders>
            <w:vAlign w:val="center"/>
          </w:tcPr>
          <w:p>
            <w:pPr>
              <w:pStyle w:val="20"/>
            </w:pPr>
            <w:r>
              <w:t>其他文化旅游体育与传媒支出</w:t>
            </w:r>
          </w:p>
        </w:tc>
        <w:tc>
          <w:tcPr>
            <w:tcW w:w="2551" w:type="dxa"/>
            <w:tcBorders>
              <w:left w:val="single" w:sz="6" w:space="0" w:color="000000"/>
              <w:right w:val="single" w:sz="6" w:space="0" w:color="000000"/>
            </w:tcBorders>
            <w:vAlign w:val="center"/>
          </w:tcPr>
          <w:p>
            <w:pPr>
              <w:pStyle w:val="19"/>
            </w:pPr>
            <w:r>
              <w:t>23.70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23.70</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2079999</w:t>
            </w:r>
          </w:p>
        </w:tc>
        <w:tc>
          <w:tcPr>
            <w:tcW w:w="4535" w:type="dxa"/>
            <w:tcBorders>
              <w:left w:val="single" w:sz="6" w:space="0" w:color="000000"/>
              <w:right w:val="single" w:sz="6" w:space="0" w:color="000000"/>
            </w:tcBorders>
            <w:vAlign w:val="center"/>
          </w:tcPr>
          <w:p>
            <w:pPr>
              <w:pStyle w:val="20"/>
            </w:pPr>
            <w:r>
              <w:t>其他文化旅游体育与传媒支出</w:t>
            </w:r>
          </w:p>
        </w:tc>
        <w:tc>
          <w:tcPr>
            <w:tcW w:w="2551" w:type="dxa"/>
            <w:tcBorders>
              <w:left w:val="single" w:sz="6" w:space="0" w:color="000000"/>
              <w:right w:val="single" w:sz="6" w:space="0" w:color="000000"/>
            </w:tcBorders>
            <w:vAlign w:val="center"/>
          </w:tcPr>
          <w:p>
            <w:pPr>
              <w:pStyle w:val="19"/>
            </w:pPr>
            <w:r>
              <w:t>23.70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23.70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406.00</w:t>
            </w:r>
          </w:p>
        </w:tc>
        <w:tc>
          <w:tcPr>
            <w:tcW w:w="2551" w:type="dxa"/>
            <w:tcBorders>
              <w:left w:val="single" w:sz="6" w:space="0" w:color="000000"/>
              <w:right w:val="single" w:sz="6" w:space="0" w:color="000000"/>
            </w:tcBorders>
            <w:vAlign w:val="center"/>
          </w:tcPr>
          <w:p>
            <w:pPr>
              <w:pStyle w:val="23"/>
            </w:pPr>
            <w:r>
              <w:t>397.00</w:t>
            </w:r>
          </w:p>
        </w:tc>
        <w:tc>
          <w:tcPr>
            <w:tcW w:w="2551" w:type="dxa"/>
            <w:vAlign w:val="center"/>
          </w:tcPr>
          <w:p>
            <w:pPr>
              <w:pStyle w:val="23"/>
            </w:pPr>
            <w:r>
              <w:t>9.00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323.28</w:t>
            </w:r>
          </w:p>
        </w:tc>
        <w:tc>
          <w:tcPr>
            <w:tcW w:w="2551" w:type="dxa"/>
            <w:tcBorders>
              <w:left w:val="single" w:sz="6" w:space="0" w:color="000000"/>
              <w:right w:val="single" w:sz="6" w:space="0" w:color="000000"/>
            </w:tcBorders>
            <w:vAlign w:val="center"/>
          </w:tcPr>
          <w:p>
            <w:pPr>
              <w:pStyle w:val="19"/>
            </w:pPr>
            <w:r>
              <w:t>323.28</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128.85</w:t>
            </w:r>
          </w:p>
        </w:tc>
        <w:tc>
          <w:tcPr>
            <w:tcW w:w="2551" w:type="dxa"/>
            <w:tcBorders>
              <w:left w:val="single" w:sz="6" w:space="0" w:color="000000"/>
              <w:right w:val="single" w:sz="6" w:space="0" w:color="000000"/>
            </w:tcBorders>
            <w:vAlign w:val="center"/>
          </w:tcPr>
          <w:p>
            <w:pPr>
              <w:pStyle w:val="19"/>
            </w:pPr>
            <w:r>
              <w:t>128.85</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4.83</w:t>
            </w:r>
          </w:p>
        </w:tc>
        <w:tc>
          <w:tcPr>
            <w:tcW w:w="2551" w:type="dxa"/>
            <w:tcBorders>
              <w:left w:val="single" w:sz="6" w:space="0" w:color="000000"/>
              <w:right w:val="single" w:sz="6" w:space="0" w:color="000000"/>
            </w:tcBorders>
            <w:vAlign w:val="center"/>
          </w:tcPr>
          <w:p>
            <w:pPr>
              <w:pStyle w:val="19"/>
            </w:pPr>
            <w:r>
              <w:t>4.83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95.82</w:t>
            </w:r>
          </w:p>
        </w:tc>
        <w:tc>
          <w:tcPr>
            <w:tcW w:w="2551" w:type="dxa"/>
            <w:tcBorders>
              <w:left w:val="single" w:sz="6" w:space="0" w:color="000000"/>
              <w:right w:val="single" w:sz="6" w:space="0" w:color="000000"/>
            </w:tcBorders>
            <w:vAlign w:val="center"/>
          </w:tcPr>
          <w:p>
            <w:pPr>
              <w:pStyle w:val="19"/>
            </w:pPr>
            <w:r>
              <w:t>95.82</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32.73</w:t>
            </w:r>
          </w:p>
        </w:tc>
        <w:tc>
          <w:tcPr>
            <w:tcW w:w="2551" w:type="dxa"/>
            <w:tcBorders>
              <w:left w:val="single" w:sz="6" w:space="0" w:color="000000"/>
              <w:right w:val="single" w:sz="6" w:space="0" w:color="000000"/>
            </w:tcBorders>
            <w:vAlign w:val="center"/>
          </w:tcPr>
          <w:p>
            <w:pPr>
              <w:pStyle w:val="19"/>
            </w:pPr>
            <w:r>
              <w:t>32.73</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30109</w:t>
            </w:r>
          </w:p>
        </w:tc>
        <w:tc>
          <w:tcPr>
            <w:tcW w:w="4535" w:type="dxa"/>
            <w:tcBorders>
              <w:left w:val="single" w:sz="6" w:space="0" w:color="000000"/>
              <w:right w:val="single" w:sz="6" w:space="0" w:color="000000"/>
            </w:tcBorders>
            <w:vAlign w:val="center"/>
          </w:tcPr>
          <w:p>
            <w:pPr>
              <w:pStyle w:val="20"/>
            </w:pPr>
            <w:r>
              <w:t>职业年金缴费</w:t>
            </w:r>
          </w:p>
        </w:tc>
        <w:tc>
          <w:tcPr>
            <w:tcW w:w="2551" w:type="dxa"/>
            <w:tcBorders>
              <w:left w:val="single" w:sz="6" w:space="0" w:color="000000"/>
              <w:right w:val="single" w:sz="6" w:space="0" w:color="000000"/>
            </w:tcBorders>
            <w:vAlign w:val="center"/>
          </w:tcPr>
          <w:p>
            <w:pPr>
              <w:pStyle w:val="19"/>
            </w:pPr>
            <w:r>
              <w:t>17.54</w:t>
            </w:r>
          </w:p>
        </w:tc>
        <w:tc>
          <w:tcPr>
            <w:tcW w:w="2551" w:type="dxa"/>
            <w:tcBorders>
              <w:left w:val="single" w:sz="6" w:space="0" w:color="000000"/>
              <w:right w:val="single" w:sz="6" w:space="0" w:color="000000"/>
            </w:tcBorders>
            <w:vAlign w:val="center"/>
          </w:tcPr>
          <w:p>
            <w:pPr>
              <w:pStyle w:val="19"/>
            </w:pPr>
            <w:r>
              <w:t>17.54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14.90</w:t>
            </w:r>
          </w:p>
        </w:tc>
        <w:tc>
          <w:tcPr>
            <w:tcW w:w="2551" w:type="dxa"/>
            <w:tcBorders>
              <w:left w:val="single" w:sz="6" w:space="0" w:color="000000"/>
              <w:right w:val="single" w:sz="6" w:space="0" w:color="000000"/>
            </w:tcBorders>
            <w:vAlign w:val="center"/>
          </w:tcPr>
          <w:p>
            <w:pPr>
              <w:pStyle w:val="19"/>
            </w:pPr>
            <w:r>
              <w:t>14.90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2.05</w:t>
            </w:r>
          </w:p>
        </w:tc>
        <w:tc>
          <w:tcPr>
            <w:tcW w:w="2551" w:type="dxa"/>
            <w:tcBorders>
              <w:left w:val="single" w:sz="6" w:space="0" w:color="000000"/>
              <w:right w:val="single" w:sz="6" w:space="0" w:color="000000"/>
            </w:tcBorders>
            <w:vAlign w:val="center"/>
          </w:tcPr>
          <w:p>
            <w:pPr>
              <w:pStyle w:val="19"/>
            </w:pPr>
            <w:r>
              <w:t>2.05</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26.56</w:t>
            </w:r>
          </w:p>
        </w:tc>
        <w:tc>
          <w:tcPr>
            <w:tcW w:w="2551" w:type="dxa"/>
            <w:tcBorders>
              <w:left w:val="single" w:sz="6" w:space="0" w:color="000000"/>
              <w:right w:val="single" w:sz="6" w:space="0" w:color="000000"/>
            </w:tcBorders>
            <w:vAlign w:val="center"/>
          </w:tcPr>
          <w:p>
            <w:pPr>
              <w:pStyle w:val="19"/>
            </w:pPr>
            <w:r>
              <w:t>26.56</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9.00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9.00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7.40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7.40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1.60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1.60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73.72</w:t>
            </w:r>
          </w:p>
        </w:tc>
        <w:tc>
          <w:tcPr>
            <w:tcW w:w="2551" w:type="dxa"/>
            <w:tcBorders>
              <w:left w:val="single" w:sz="6" w:space="0" w:color="000000"/>
              <w:right w:val="single" w:sz="6" w:space="0" w:color="000000"/>
            </w:tcBorders>
            <w:vAlign w:val="center"/>
          </w:tcPr>
          <w:p>
            <w:pPr>
              <w:pStyle w:val="19"/>
            </w:pPr>
            <w:r>
              <w:t>73.72</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67.67</w:t>
            </w:r>
          </w:p>
        </w:tc>
        <w:tc>
          <w:tcPr>
            <w:tcW w:w="2551" w:type="dxa"/>
            <w:tcBorders>
              <w:left w:val="single" w:sz="6" w:space="0" w:color="000000"/>
              <w:right w:val="single" w:sz="6" w:space="0" w:color="000000"/>
            </w:tcBorders>
            <w:vAlign w:val="center"/>
          </w:tcPr>
          <w:p>
            <w:pPr>
              <w:pStyle w:val="19"/>
            </w:pPr>
            <w:r>
              <w:t>67.67</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6.05</w:t>
            </w:r>
          </w:p>
        </w:tc>
        <w:tc>
          <w:tcPr>
            <w:tcW w:w="2551" w:type="dxa"/>
            <w:tcBorders>
              <w:left w:val="single" w:sz="6" w:space="0" w:color="000000"/>
              <w:right w:val="single" w:sz="6" w:space="0" w:color="000000"/>
            </w:tcBorders>
            <w:vAlign w:val="center"/>
          </w:tcPr>
          <w:p>
            <w:pPr>
              <w:pStyle w:val="19"/>
            </w:pPr>
            <w:r>
              <w:t>6.05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359001深泽县融媒体中心本级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1.60</w:t>
            </w:r>
          </w:p>
        </w:tc>
        <w:tc>
          <w:tcPr>
            <w:tcW w:w="2381" w:type="dxa"/>
            <w:tcBorders>
              <w:left w:val="single" w:sz="6" w:space="0" w:color="000000"/>
              <w:right w:val="single" w:sz="6" w:space="0" w:color="000000"/>
            </w:tcBorders>
            <w:vAlign w:val="center"/>
          </w:tcPr>
          <w:p>
            <w:pPr>
              <w:pStyle w:val="23"/>
            </w:pPr>
            <w:r>
              <w:t>1.60</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 xml:space="preserve">    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r>
              <w:t>1.60</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000000"/>
              <w:right w:val="single" w:sz="6" w:space="0" w:color="000000"/>
            </w:tcBorders>
            <w:vAlign w:val="center"/>
          </w:tcPr>
          <w:p>
            <w:pPr>
              <w:pStyle w:val="20"/>
            </w:pPr>
            <w:r>
              <w:t>四、会议费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000000"/>
              <w:right w:val="single" w:sz="6" w:space="0" w:color="000000"/>
            </w:tcBorders>
            <w:vAlign w:val="center"/>
          </w:tcPr>
          <w:p>
            <w:pPr>
              <w:pStyle w:val="20"/>
            </w:pPr>
            <w:r>
              <w:t xml:space="preserve">    其中：省属高校业务性会议费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000000"/>
              <w:right w:val="single" w:sz="6" w:space="0" w:color="000000"/>
            </w:tcBorders>
            <w:vAlign w:val="center"/>
          </w:tcPr>
          <w:p>
            <w:pPr>
              <w:pStyle w:val="20"/>
            </w:pPr>
            <w:r>
              <w:t xml:space="preserve">          其他会议费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000000"/>
              <w:right w:val="single" w:sz="6" w:space="0" w:color="000000"/>
            </w:tcBorders>
            <w:vAlign w:val="center"/>
          </w:tcPr>
          <w:p>
            <w:pPr>
              <w:pStyle w:val="20"/>
            </w:pPr>
            <w:r>
              <w:t>五、培训费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深泽县融媒体中心本级2026年单位预算信息公开情况说明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按照《中华人民共和国预算法》、《地方预决算公开操作规程》和《关于进一步推进预算公开工作的实施意见》规定，现将深泽县融媒体中心本级2026年单位预算公开如下：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贯彻执行国家、省、市、县在新闻宣传、广播电视方面的路线、方针政策，围绕县委、县政府中心工作和全县经济社会发展，坚持正确的舆论导向，发挥主流媒体作用。</w:t>
      </w:r>
    </w:p>
    <w:p>
      <w:pPr>
        <w:pStyle w:val="25"/>
      </w:pPr>
      <w:r>
        <w:t>主要职责是：</w:t>
      </w:r>
    </w:p>
    <w:p>
      <w:pPr>
        <w:pStyle w:val="25"/>
      </w:pPr>
      <w:r>
        <w:t>1、宣传党的路线、方针、政策和县委、县政府的工作部署，坚持正确的舆论导向，发挥主流媒体作用。</w:t>
      </w:r>
    </w:p>
    <w:p>
      <w:pPr>
        <w:pStyle w:val="25"/>
      </w:pPr>
      <w:r>
        <w:t>2、以“互联网+”思维导向，推动传统媒体和新兴媒体在内容、渠道、平台、经营、管理等方面深度融合，构建“全媒体、全业务、全流程、全覆盖的采编和播发平台”。</w:t>
      </w:r>
    </w:p>
    <w:p>
      <w:pPr>
        <w:pStyle w:val="25"/>
      </w:pPr>
      <w:r>
        <w:t>3、办好各类广播电视节目；开展各类宣传工作；配合市台完成我县的采访报道工作并提各类节目；承担县委、县政府影视宣传片的创作生产、承担影视剧、专题片等的创作生产。</w:t>
      </w:r>
    </w:p>
    <w:p>
      <w:pPr>
        <w:pStyle w:val="25"/>
      </w:pPr>
      <w:r>
        <w:t>4、负责县广播电视节目的传输发射；负责上星节目的传输；承担有关频率传输发射试验任务；负责全县广播电视微波电路正常运行和维护；负责相关设备的正常运行和维护。</w:t>
      </w:r>
    </w:p>
    <w:p>
      <w:pPr>
        <w:pStyle w:val="25"/>
      </w:pPr>
      <w:r>
        <w:t>5、在全县建立广播电视安全播出保障体系，对中波发射台进行监管，负责全县广播电视、互联网安全优质播出管理，组织实施重大公益工程和公益活动，扶助老少边穷地区新闻出版广播影视建设和发展</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深泽县融媒体中心本级</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财政性资金定额或定项补助</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999.70万元，其中：一般公共预算收入429.70万元，基金预算收入0.00万元，国有资本经营预算收入0.00万元，财政专户核拨收入0.00万元，单位资金收入0.00万元，上年结转结余570.00万元。</w:t>
      </w:r>
    </w:p>
    <w:p>
      <w:pPr>
        <w:pStyle w:val="26"/>
      </w:pPr>
      <w:r>
        <w:t>2、支出说明</w:t>
      </w:r>
    </w:p>
    <w:p>
      <w:pPr>
        <w:pStyle w:val="26"/>
      </w:pPr>
      <w:r>
        <w:t>收支预算总表支出栏、基本支出表、项目支出表按经济分类和支出功能分类科目编制，反映深泽县融媒体中心本级年度单位预算中支出预算的总体情况。2026年支出预算999.70万元，其中基本支出406.00万元，包括人员经费397.00万元和日常公用经费9.00万元；项目支出593.70万元，主要为深泽县融媒体中心基层设施补短板项目和2026年中央支持地方公共文化服务体系建设补助资金；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999.70万元，较2025年预算增加593.52万元，其中：基本支出增加18.40万元，主要为2025年人员增加。项目支出增加575.12万元，主要为年初预算增加深泽县融媒体中心基层设施补短板项目。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 2026年，我单位机关运行经费共计安排</w:t>
      </w:r>
      <w:r>
        <w:rPr>
          <w:shd w:val="solid" w:color="FFFFFF" w:fill="FFFFFF"/>
        </w:rPr>
        <w:t>9.00万元</w:t>
      </w:r>
      <w:r>
        <w:t>，主要用于日常维修、办公用房水电费、办公用房取暖费、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1.60万元，其中因公出国（境）费0.00万元；公务用车购置及运维费1.60万元（其中：公务用车购置费为0.00万元，公务用车运维费1.60万元)；公务接待费0.00万元。与2025年相比减少0.10万元，增减变化的主要原因是贯彻落实厉行节约精神、从严规范经费开支。</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1、深泽县融媒体中心基础设施补短板项目绩效目标表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13012825P00000110202P</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深泽县融媒体中心基础设施补短板项目</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570.00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570.00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用于深泽县融媒体中心基础设施补短板项目资金。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570.00</w:t>
            </w:r>
          </w:p>
        </w:tc>
      </w:tr>
      <w:tr>
        <w:trPr>
          <w:trHeight w:val="369"/>
        </w:trPr>
        <w:tc>
          <w:tcPr>
            <w:tcW w:w="1276" w:type="dxa"/>
            <w:vAlign w:val="center"/>
          </w:tcPr>
          <w:p>
            <w:pPr>
              <w:pStyle w:val="18"/>
            </w:pPr>
            <w:r>
              <w:t>绩效目标</w:t>
            </w:r>
          </w:p>
        </w:tc>
        <w:tc>
          <w:tcPr>
            <w:tcW w:w="14033" w:type="dxa"/>
            <w:gridSpan w:val="6"/>
            <w:vAlign w:val="center"/>
          </w:tcPr>
          <w:p>
            <w:pPr>
              <w:pStyle w:val="20"/>
            </w:pPr>
            <w:r>
              <w:t>1.为了进一步提升深泽县融媒体中心的传播能力和舆论引导力。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广播电视发射塔数量</w:t>
            </w:r>
          </w:p>
        </w:tc>
        <w:tc>
          <w:tcPr>
            <w:tcW w:w="5386" w:type="dxa"/>
            <w:tcBorders>
              <w:left w:val="single" w:sz="6" w:space="0" w:color="000000"/>
              <w:right w:val="single" w:sz="6" w:space="0" w:color="000000"/>
            </w:tcBorders>
            <w:vAlign w:val="center"/>
          </w:tcPr>
          <w:p>
            <w:pPr>
              <w:pStyle w:val="20"/>
            </w:pPr>
            <w:r>
              <w:t>新建广播电视发射塔数量</w:t>
            </w:r>
          </w:p>
        </w:tc>
        <w:tc>
          <w:tcPr>
            <w:tcW w:w="2268" w:type="dxa"/>
            <w:tcBorders>
              <w:left w:val="single" w:sz="6" w:space="0" w:color="000000"/>
              <w:right w:val="single" w:sz="6" w:space="0" w:color="000000"/>
            </w:tcBorders>
            <w:vAlign w:val="center"/>
          </w:tcPr>
          <w:p>
            <w:pPr>
              <w:pStyle w:val="20"/>
            </w:pPr>
            <w:r>
              <w:t>1座</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保障工作质量</w:t>
            </w:r>
          </w:p>
        </w:tc>
        <w:tc>
          <w:tcPr>
            <w:tcW w:w="5386" w:type="dxa"/>
            <w:tcBorders>
              <w:left w:val="single" w:sz="6" w:space="0" w:color="000000"/>
              <w:right w:val="single" w:sz="6" w:space="0" w:color="000000"/>
            </w:tcBorders>
            <w:vAlign w:val="center"/>
          </w:tcPr>
          <w:p>
            <w:pPr>
              <w:pStyle w:val="20"/>
            </w:pPr>
            <w:r>
              <w:t>保障工作质量</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按期完成情况</w:t>
            </w:r>
          </w:p>
        </w:tc>
        <w:tc>
          <w:tcPr>
            <w:tcW w:w="5386" w:type="dxa"/>
            <w:tcBorders>
              <w:left w:val="single" w:sz="6" w:space="0" w:color="000000"/>
              <w:right w:val="single" w:sz="6" w:space="0" w:color="000000"/>
            </w:tcBorders>
            <w:vAlign w:val="center"/>
          </w:tcPr>
          <w:p>
            <w:pPr>
              <w:pStyle w:val="20"/>
            </w:pPr>
            <w:r>
              <w:t>按期完成情况</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项目支出</w:t>
            </w:r>
          </w:p>
        </w:tc>
        <w:tc>
          <w:tcPr>
            <w:tcW w:w="5386" w:type="dxa"/>
            <w:tcBorders>
              <w:left w:val="single" w:sz="6" w:space="0" w:color="000000"/>
              <w:right w:val="single" w:sz="6" w:space="0" w:color="000000"/>
            </w:tcBorders>
            <w:vAlign w:val="center"/>
          </w:tcPr>
          <w:p>
            <w:pPr>
              <w:pStyle w:val="20"/>
            </w:pPr>
            <w:r>
              <w:t>项目实施过程中经费支出情况</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根据相关文件</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资金的使用效率</w:t>
            </w:r>
          </w:p>
        </w:tc>
        <w:tc>
          <w:tcPr>
            <w:tcW w:w="5386" w:type="dxa"/>
            <w:tcBorders>
              <w:left w:val="single" w:sz="6" w:space="0" w:color="000000"/>
              <w:right w:val="single" w:sz="6" w:space="0" w:color="000000"/>
            </w:tcBorders>
            <w:vAlign w:val="center"/>
          </w:tcPr>
          <w:p>
            <w:pPr>
              <w:pStyle w:val="20"/>
            </w:pPr>
            <w:r>
              <w:t>资金的使用效率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社会影响力</w:t>
            </w:r>
          </w:p>
        </w:tc>
        <w:tc>
          <w:tcPr>
            <w:tcW w:w="5386" w:type="dxa"/>
            <w:tcBorders>
              <w:left w:val="single" w:sz="6" w:space="0" w:color="000000"/>
              <w:right w:val="single" w:sz="6" w:space="0" w:color="000000"/>
            </w:tcBorders>
            <w:vAlign w:val="center"/>
          </w:tcPr>
          <w:p>
            <w:pPr>
              <w:pStyle w:val="20"/>
            </w:pPr>
            <w:r>
              <w:t>社会影响力</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根据相关文件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长期使用性</w:t>
            </w:r>
          </w:p>
        </w:tc>
        <w:tc>
          <w:tcPr>
            <w:tcW w:w="5386" w:type="dxa"/>
            <w:tcBorders>
              <w:left w:val="single" w:sz="6" w:space="0" w:color="000000"/>
              <w:right w:val="single" w:sz="6" w:space="0" w:color="000000"/>
            </w:tcBorders>
            <w:vAlign w:val="center"/>
          </w:tcPr>
          <w:p>
            <w:pPr>
              <w:pStyle w:val="20"/>
            </w:pPr>
            <w:r>
              <w:t>长期使用性</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根据相关文件</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服务对象满意度</w:t>
            </w:r>
          </w:p>
        </w:tc>
        <w:tc>
          <w:tcPr>
            <w:tcW w:w="5386" w:type="dxa"/>
            <w:tcBorders>
              <w:left w:val="single" w:sz="6" w:space="0" w:color="000000"/>
              <w:right w:val="single" w:sz="6" w:space="0" w:color="000000"/>
            </w:tcBorders>
            <w:vAlign w:val="center"/>
          </w:tcPr>
          <w:p>
            <w:pPr>
              <w:pStyle w:val="20"/>
            </w:pPr>
            <w:r>
              <w:t>服务对象满意度</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2、提前下达2026年中央支持地方公共文化服务体系建设补助资金绩效目标表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13012826P00021610010B</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提前下达2026年中央支持地方公共文化服务体系建设补助资金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23.70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23.70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用于中央广播电视节目无线覆盖（数字）运行维护费。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5.93</w:t>
            </w:r>
          </w:p>
        </w:tc>
        <w:tc>
          <w:tcPr>
            <w:tcW w:w="2835" w:type="dxa"/>
            <w:tcBorders>
              <w:left w:val="single" w:sz="6" w:space="0" w:color="000000"/>
              <w:right w:val="single" w:sz="6" w:space="0" w:color="000000"/>
            </w:tcBorders>
            <w:vAlign w:val="center"/>
          </w:tcPr>
          <w:p>
            <w:pPr>
              <w:pStyle w:val="21"/>
            </w:pPr>
            <w:r>
              <w:t>11.85</w:t>
            </w:r>
          </w:p>
        </w:tc>
        <w:tc>
          <w:tcPr>
            <w:tcW w:w="2551" w:type="dxa"/>
            <w:tcBorders>
              <w:left w:val="single" w:sz="6" w:space="0" w:color="000000"/>
              <w:right w:val="single" w:sz="6" w:space="0" w:color="000000"/>
            </w:tcBorders>
            <w:vAlign w:val="center"/>
          </w:tcPr>
          <w:p>
            <w:pPr>
              <w:pStyle w:val="21"/>
            </w:pPr>
            <w:r>
              <w:t>17.78</w:t>
            </w:r>
          </w:p>
        </w:tc>
        <w:tc>
          <w:tcPr>
            <w:tcW w:w="3544" w:type="dxa"/>
            <w:gridSpan w:val="2"/>
            <w:vAlign w:val="center"/>
          </w:tcPr>
          <w:p>
            <w:pPr>
              <w:pStyle w:val="21"/>
            </w:pPr>
            <w:r>
              <w:t>23.70</w:t>
            </w:r>
          </w:p>
        </w:tc>
      </w:tr>
      <w:tr>
        <w:trPr>
          <w:trHeight w:val="369"/>
        </w:trPr>
        <w:tc>
          <w:tcPr>
            <w:tcW w:w="1276" w:type="dxa"/>
            <w:vAlign w:val="center"/>
          </w:tcPr>
          <w:p>
            <w:pPr>
              <w:pStyle w:val="18"/>
            </w:pPr>
            <w:r>
              <w:t>绩效目标</w:t>
            </w:r>
          </w:p>
        </w:tc>
        <w:tc>
          <w:tcPr>
            <w:tcW w:w="14033" w:type="dxa"/>
            <w:gridSpan w:val="6"/>
            <w:vAlign w:val="center"/>
          </w:tcPr>
          <w:p>
            <w:pPr>
              <w:pStyle w:val="20"/>
            </w:pPr>
            <w:r>
              <w:t>1.负责全县广播电视设备的正常运行和维护，建立安全播出保障体系。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发射机满功率、满时间、满调制度播出率</w:t>
            </w:r>
          </w:p>
        </w:tc>
        <w:tc>
          <w:tcPr>
            <w:tcW w:w="5386" w:type="dxa"/>
            <w:tcBorders>
              <w:left w:val="single" w:sz="6" w:space="0" w:color="000000"/>
              <w:right w:val="single" w:sz="6" w:space="0" w:color="000000"/>
            </w:tcBorders>
            <w:vAlign w:val="center"/>
          </w:tcPr>
          <w:p>
            <w:pPr>
              <w:pStyle w:val="20"/>
            </w:pPr>
            <w:r>
              <w:t>发射机满功率、满时间、满调制度播出率</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中央补助地方公共文化服务体系建设资金专款专用情况</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中央数字广播电视节目播出任务完成率</w:t>
            </w:r>
          </w:p>
        </w:tc>
        <w:tc>
          <w:tcPr>
            <w:tcW w:w="5386" w:type="dxa"/>
            <w:tcBorders>
              <w:left w:val="single" w:sz="6" w:space="0" w:color="000000"/>
              <w:right w:val="single" w:sz="6" w:space="0" w:color="000000"/>
            </w:tcBorders>
            <w:vAlign w:val="center"/>
          </w:tcPr>
          <w:p>
            <w:pPr>
              <w:pStyle w:val="20"/>
            </w:pPr>
            <w:r>
              <w:t>中央数字广播电视节目播出任务完成率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中央广播电视节目无线覆盖（数字）运行维护费所需</w:t>
            </w:r>
          </w:p>
        </w:tc>
        <w:tc>
          <w:tcPr>
            <w:tcW w:w="5386" w:type="dxa"/>
            <w:tcBorders>
              <w:left w:val="single" w:sz="6" w:space="0" w:color="000000"/>
              <w:right w:val="single" w:sz="6" w:space="0" w:color="000000"/>
            </w:tcBorders>
            <w:vAlign w:val="center"/>
          </w:tcPr>
          <w:p>
            <w:pPr>
              <w:pStyle w:val="20"/>
            </w:pPr>
            <w:r>
              <w:t>中央广播电视节目无线覆盖（数字）运行维护费所需资金</w:t>
            </w:r>
          </w:p>
        </w:tc>
        <w:tc>
          <w:tcPr>
            <w:tcW w:w="2268" w:type="dxa"/>
            <w:tcBorders>
              <w:left w:val="single" w:sz="6" w:space="0" w:color="000000"/>
              <w:right w:val="single" w:sz="6" w:space="0" w:color="000000"/>
            </w:tcBorders>
            <w:vAlign w:val="center"/>
          </w:tcPr>
          <w:p>
            <w:pPr>
              <w:pStyle w:val="20"/>
            </w:pPr>
            <w:r>
              <w:t>中央支持地方公共文化服务体系建设补助资金23.7万元</w:t>
            </w:r>
          </w:p>
        </w:tc>
        <w:tc>
          <w:tcPr>
            <w:tcW w:w="1276" w:type="dxa"/>
            <w:vAlign w:val="center"/>
          </w:tcPr>
          <w:p>
            <w:pPr>
              <w:pStyle w:val="20"/>
            </w:pPr>
            <w:r>
              <w:t>冀财教【2025】115号</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资金的使用效率</w:t>
            </w:r>
          </w:p>
        </w:tc>
        <w:tc>
          <w:tcPr>
            <w:tcW w:w="5386" w:type="dxa"/>
            <w:tcBorders>
              <w:left w:val="single" w:sz="6" w:space="0" w:color="000000"/>
              <w:right w:val="single" w:sz="6" w:space="0" w:color="000000"/>
            </w:tcBorders>
            <w:vAlign w:val="center"/>
          </w:tcPr>
          <w:p>
            <w:pPr>
              <w:pStyle w:val="20"/>
            </w:pPr>
            <w:r>
              <w:t>资金的使用效率</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电视综合人口覆盖率</w:t>
            </w:r>
          </w:p>
        </w:tc>
        <w:tc>
          <w:tcPr>
            <w:tcW w:w="5386" w:type="dxa"/>
            <w:tcBorders>
              <w:left w:val="single" w:sz="6" w:space="0" w:color="000000"/>
              <w:right w:val="single" w:sz="6" w:space="0" w:color="000000"/>
            </w:tcBorders>
            <w:vAlign w:val="center"/>
          </w:tcPr>
          <w:p>
            <w:pPr>
              <w:pStyle w:val="20"/>
            </w:pPr>
            <w:r>
              <w:t>电视综合人口覆盖率</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冀财教【2025】115号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无线覆盖运行维护的持续作用</w:t>
            </w:r>
          </w:p>
        </w:tc>
        <w:tc>
          <w:tcPr>
            <w:tcW w:w="5386" w:type="dxa"/>
            <w:tcBorders>
              <w:left w:val="single" w:sz="6" w:space="0" w:color="000000"/>
              <w:right w:val="single" w:sz="6" w:space="0" w:color="000000"/>
            </w:tcBorders>
            <w:vAlign w:val="center"/>
          </w:tcPr>
          <w:p>
            <w:pPr>
              <w:pStyle w:val="20"/>
            </w:pPr>
            <w:r>
              <w:t>无线覆盖运行维护的持续作用</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冀财教【2025】115号</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群众满意度</w:t>
            </w:r>
          </w:p>
        </w:tc>
        <w:tc>
          <w:tcPr>
            <w:tcW w:w="5386" w:type="dxa"/>
            <w:tcBorders>
              <w:left w:val="single" w:sz="6" w:space="0" w:color="000000"/>
              <w:right w:val="single" w:sz="6" w:space="0" w:color="000000"/>
            </w:tcBorders>
            <w:vAlign w:val="center"/>
          </w:tcPr>
          <w:p>
            <w:pPr>
              <w:pStyle w:val="20"/>
            </w:pPr>
            <w:r>
              <w:t>群众的满意程度</w:t>
            </w:r>
          </w:p>
        </w:tc>
        <w:tc>
          <w:tcPr>
            <w:tcW w:w="2268" w:type="dxa"/>
            <w:tcBorders>
              <w:left w:val="single" w:sz="6" w:space="0" w:color="000000"/>
              <w:right w:val="single" w:sz="6" w:space="0" w:color="000000"/>
            </w:tcBorders>
            <w:vAlign w:val="center"/>
          </w:tcPr>
          <w:p>
            <w:pPr>
              <w:pStyle w:val="20"/>
            </w:pPr>
            <w:r>
              <w:t>≥97%</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359001深泽县融媒体中心本级</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深泽县融媒体中心本级上年末固定资产金额为974.45万元（详见下表）。本年度拟购置固定资产总额为0.00万元，已按要求列入政府采购预算，详见政府采购预算表。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359001深泽县融媒体中心本级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974.45</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11.20</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862</w:t>
            </w:r>
          </w:p>
        </w:tc>
        <w:tc>
          <w:tcPr>
            <w:tcW w:w="2835" w:type="dxa"/>
            <w:vAlign w:val="center"/>
          </w:tcPr>
          <w:p>
            <w:pPr>
              <w:pStyle w:val="19"/>
            </w:pPr>
            <w:r>
              <w:t>963.25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7D6F688E-22C5-4F0B-AB80-E1E9DC1ADEF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Yozo_Office27021597764231179</Application>
  <Pages>22</Pages>
  <Words>0</Words>
  <Characters>6607</Characters>
  <Lines>0</Lines>
  <Paragraphs>93</Paragraphs>
  <CharactersWithSpaces>8810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1</cp:revision>
  <dcterms:created xsi:type="dcterms:W3CDTF">2026-02-11T10:22:37Z</dcterms:created>
  <dcterms:modified xsi:type="dcterms:W3CDTF">2026-02-27T02:40:25Z</dcterms:modified>
</cp:coreProperties>
</file>