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topLinePunct w:val="0"/>
        <w:bidi w:val="0"/>
        <w:jc w:val="center"/>
        <w:rPr>
          <w:rFonts w:hint="eastAsia" w:ascii="方正小标宋_GBK" w:hAnsi="方正小标宋_GBK" w:eastAsia="方正小标宋_GBK" w:cs="方正小标宋_GBK"/>
          <w:b w:val="0"/>
          <w:bCs/>
          <w:sz w:val="44"/>
          <w:szCs w:val="44"/>
        </w:rPr>
      </w:pPr>
    </w:p>
    <w:p>
      <w:pPr>
        <w:pageBreakBefore w:val="0"/>
        <w:kinsoku/>
        <w:wordWrap/>
        <w:topLinePunct w:val="0"/>
        <w:bidi w:val="0"/>
        <w:jc w:val="center"/>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目     录</w:t>
      </w:r>
    </w:p>
    <w:p>
      <w:pPr>
        <w:pageBreakBefore w:val="0"/>
        <w:kinsoku/>
        <w:wordWrap/>
        <w:topLinePunct w:val="0"/>
        <w:bidi w:val="0"/>
        <w:ind w:right="-57" w:rightChars="-26"/>
        <w:jc w:val="both"/>
        <w:rPr>
          <w:rFonts w:ascii="仿宋" w:hAnsi="仿宋" w:eastAsia="仿宋_GB2312"/>
          <w:sz w:val="32"/>
          <w:szCs w:val="32"/>
        </w:rPr>
      </w:pPr>
    </w:p>
    <w:p>
      <w:pPr>
        <w:pageBreakBefore w:val="0"/>
        <w:kinsoku/>
        <w:wordWrap/>
        <w:topLinePunct w:val="0"/>
        <w:bidi w:val="0"/>
        <w:ind w:right="-57" w:rightChars="-26"/>
        <w:jc w:val="both"/>
        <w:rPr>
          <w:rFonts w:ascii="仿宋" w:hAnsi="仿宋" w:eastAsia="仿宋_GB2312"/>
          <w:sz w:val="32"/>
          <w:szCs w:val="32"/>
        </w:rPr>
      </w:pPr>
      <w:r>
        <w:rPr>
          <w:rFonts w:ascii="仿宋" w:hAnsi="仿宋" w:eastAsia="仿宋_GB2312"/>
          <w:sz w:val="32"/>
          <w:szCs w:val="32"/>
        </w:rPr>
        <w:t>1</w:t>
      </w:r>
      <w:r>
        <w:rPr>
          <w:rFonts w:hint="eastAsia" w:ascii="仿宋" w:hAnsi="仿宋" w:eastAsia="仿宋_GB2312"/>
          <w:sz w:val="32"/>
          <w:szCs w:val="32"/>
        </w:rPr>
        <w:t>.深泽县</w:t>
      </w:r>
      <w:r>
        <w:rPr>
          <w:rFonts w:hint="eastAsia" w:ascii="仿宋" w:hAnsi="仿宋" w:eastAsia="仿宋_GB2312"/>
          <w:sz w:val="32"/>
          <w:szCs w:val="32"/>
          <w:lang w:eastAsia="zh-CN"/>
        </w:rPr>
        <w:t>202</w:t>
      </w:r>
      <w:r>
        <w:rPr>
          <w:rFonts w:hint="eastAsia" w:ascii="仿宋" w:hAnsi="仿宋" w:eastAsia="仿宋_GB2312"/>
          <w:sz w:val="32"/>
          <w:szCs w:val="32"/>
          <w:lang w:val="en-US" w:eastAsia="zh-CN"/>
        </w:rPr>
        <w:t>6</w:t>
      </w:r>
      <w:r>
        <w:rPr>
          <w:rFonts w:hint="eastAsia" w:ascii="仿宋" w:hAnsi="仿宋" w:eastAsia="仿宋_GB2312"/>
          <w:sz w:val="32"/>
          <w:szCs w:val="32"/>
          <w:lang w:eastAsia="zh-CN"/>
        </w:rPr>
        <w:t>年</w:t>
      </w:r>
      <w:r>
        <w:rPr>
          <w:rFonts w:hint="eastAsia" w:ascii="仿宋" w:hAnsi="仿宋" w:eastAsia="仿宋_GB2312"/>
          <w:sz w:val="32"/>
          <w:szCs w:val="32"/>
        </w:rPr>
        <w:t>财政拨款“三公经费”预算安排情况</w:t>
      </w:r>
    </w:p>
    <w:p>
      <w:pPr>
        <w:pageBreakBefore w:val="0"/>
        <w:kinsoku/>
        <w:wordWrap/>
        <w:topLinePunct w:val="0"/>
        <w:bidi w:val="0"/>
        <w:ind w:right="-57" w:rightChars="-26"/>
        <w:jc w:val="both"/>
        <w:rPr>
          <w:rFonts w:ascii="仿宋" w:hAnsi="仿宋" w:eastAsia="仿宋_GB2312"/>
          <w:sz w:val="32"/>
          <w:szCs w:val="32"/>
        </w:rPr>
      </w:pPr>
      <w:r>
        <w:rPr>
          <w:rFonts w:ascii="仿宋" w:hAnsi="仿宋" w:eastAsia="仿宋_GB2312"/>
          <w:sz w:val="32"/>
          <w:szCs w:val="32"/>
        </w:rPr>
        <w:t>2</w:t>
      </w:r>
      <w:r>
        <w:rPr>
          <w:rFonts w:hint="eastAsia" w:ascii="仿宋" w:hAnsi="仿宋" w:eastAsia="仿宋_GB2312"/>
          <w:sz w:val="32"/>
          <w:szCs w:val="32"/>
        </w:rPr>
        <w:t>.深泽县</w:t>
      </w:r>
      <w:r>
        <w:rPr>
          <w:rFonts w:hint="eastAsia" w:ascii="仿宋" w:hAnsi="仿宋" w:eastAsia="仿宋_GB2312"/>
          <w:sz w:val="32"/>
          <w:szCs w:val="32"/>
          <w:lang w:eastAsia="zh-CN"/>
        </w:rPr>
        <w:t>202</w:t>
      </w:r>
      <w:r>
        <w:rPr>
          <w:rFonts w:hint="eastAsia" w:ascii="仿宋" w:hAnsi="仿宋" w:eastAsia="仿宋_GB2312"/>
          <w:sz w:val="32"/>
          <w:szCs w:val="32"/>
          <w:lang w:val="en-US" w:eastAsia="zh-CN"/>
        </w:rPr>
        <w:t>6</w:t>
      </w:r>
      <w:r>
        <w:rPr>
          <w:rFonts w:hint="eastAsia" w:ascii="仿宋" w:hAnsi="仿宋" w:eastAsia="仿宋_GB2312"/>
          <w:sz w:val="32"/>
          <w:szCs w:val="32"/>
          <w:lang w:eastAsia="zh-CN"/>
        </w:rPr>
        <w:t>年</w:t>
      </w:r>
      <w:r>
        <w:rPr>
          <w:rFonts w:hint="eastAsia" w:ascii="仿宋" w:hAnsi="仿宋" w:eastAsia="仿宋_GB2312"/>
          <w:sz w:val="32"/>
          <w:szCs w:val="32"/>
        </w:rPr>
        <w:t>政府预算举借债务情况说明</w:t>
      </w:r>
    </w:p>
    <w:p>
      <w:pPr>
        <w:pageBreakBefore w:val="0"/>
        <w:kinsoku/>
        <w:wordWrap/>
        <w:topLinePunct w:val="0"/>
        <w:bidi w:val="0"/>
        <w:ind w:right="-57" w:rightChars="-26"/>
        <w:jc w:val="both"/>
        <w:rPr>
          <w:rFonts w:ascii="仿宋" w:hAnsi="仿宋" w:eastAsia="仿宋_GB2312"/>
          <w:sz w:val="32"/>
          <w:szCs w:val="32"/>
        </w:rPr>
      </w:pPr>
      <w:r>
        <w:rPr>
          <w:rFonts w:ascii="仿宋" w:hAnsi="仿宋" w:eastAsia="仿宋_GB2312"/>
          <w:sz w:val="32"/>
          <w:szCs w:val="32"/>
        </w:rPr>
        <w:t>3</w:t>
      </w:r>
      <w:r>
        <w:rPr>
          <w:rFonts w:hint="eastAsia" w:ascii="仿宋" w:hAnsi="仿宋" w:eastAsia="仿宋_GB2312"/>
          <w:sz w:val="32"/>
          <w:szCs w:val="32"/>
        </w:rPr>
        <w:t>.深泽县</w:t>
      </w:r>
      <w:r>
        <w:rPr>
          <w:rFonts w:hint="eastAsia" w:ascii="仿宋" w:hAnsi="仿宋" w:eastAsia="仿宋_GB2312"/>
          <w:sz w:val="32"/>
          <w:szCs w:val="32"/>
          <w:lang w:eastAsia="zh-CN"/>
        </w:rPr>
        <w:t>202</w:t>
      </w:r>
      <w:r>
        <w:rPr>
          <w:rFonts w:hint="eastAsia" w:ascii="仿宋" w:hAnsi="仿宋" w:eastAsia="仿宋_GB2312"/>
          <w:sz w:val="32"/>
          <w:szCs w:val="32"/>
          <w:lang w:val="en-US" w:eastAsia="zh-CN"/>
        </w:rPr>
        <w:t>6</w:t>
      </w:r>
      <w:r>
        <w:rPr>
          <w:rFonts w:hint="eastAsia" w:ascii="仿宋" w:hAnsi="仿宋" w:eastAsia="仿宋_GB2312"/>
          <w:sz w:val="32"/>
          <w:szCs w:val="32"/>
          <w:lang w:eastAsia="zh-CN"/>
        </w:rPr>
        <w:t>年</w:t>
      </w:r>
      <w:r>
        <w:rPr>
          <w:rFonts w:hint="eastAsia" w:ascii="仿宋" w:hAnsi="仿宋" w:eastAsia="仿宋_GB2312"/>
          <w:sz w:val="32"/>
          <w:szCs w:val="32"/>
        </w:rPr>
        <w:t>政府预算财政转移资金说明</w:t>
      </w:r>
    </w:p>
    <w:p>
      <w:pPr>
        <w:pageBreakBefore w:val="0"/>
        <w:kinsoku/>
        <w:wordWrap/>
        <w:topLinePunct w:val="0"/>
        <w:bidi w:val="0"/>
        <w:ind w:right="-57" w:rightChars="-26"/>
        <w:jc w:val="both"/>
        <w:rPr>
          <w:rFonts w:ascii="仿宋" w:hAnsi="仿宋" w:eastAsia="仿宋_GB2312"/>
          <w:sz w:val="32"/>
          <w:szCs w:val="32"/>
        </w:rPr>
      </w:pPr>
      <w:r>
        <w:rPr>
          <w:rFonts w:ascii="仿宋" w:hAnsi="仿宋" w:eastAsia="仿宋_GB2312"/>
          <w:sz w:val="32"/>
          <w:szCs w:val="32"/>
        </w:rPr>
        <w:t>4</w:t>
      </w:r>
      <w:r>
        <w:rPr>
          <w:rFonts w:hint="eastAsia" w:ascii="仿宋" w:hAnsi="仿宋" w:eastAsia="仿宋_GB2312"/>
          <w:sz w:val="32"/>
          <w:szCs w:val="32"/>
        </w:rPr>
        <w:t>.深泽县</w:t>
      </w:r>
      <w:r>
        <w:rPr>
          <w:rFonts w:hint="eastAsia" w:ascii="仿宋" w:hAnsi="仿宋" w:eastAsia="仿宋_GB2312"/>
          <w:sz w:val="32"/>
          <w:szCs w:val="32"/>
          <w:lang w:eastAsia="zh-CN"/>
        </w:rPr>
        <w:t>20</w:t>
      </w:r>
      <w:r>
        <w:rPr>
          <w:rFonts w:hint="eastAsia" w:ascii="仿宋" w:hAnsi="仿宋" w:eastAsia="仿宋_GB2312"/>
          <w:sz w:val="32"/>
          <w:szCs w:val="32"/>
          <w:lang w:val="en-US" w:eastAsia="zh-CN"/>
        </w:rPr>
        <w:t>26</w:t>
      </w:r>
      <w:r>
        <w:rPr>
          <w:rFonts w:hint="eastAsia" w:ascii="仿宋" w:hAnsi="仿宋" w:eastAsia="仿宋_GB2312"/>
          <w:sz w:val="32"/>
          <w:szCs w:val="32"/>
          <w:lang w:eastAsia="zh-CN"/>
        </w:rPr>
        <w:t>年</w:t>
      </w:r>
      <w:r>
        <w:rPr>
          <w:rFonts w:hint="eastAsia" w:ascii="仿宋" w:hAnsi="仿宋" w:eastAsia="仿宋_GB2312"/>
          <w:sz w:val="32"/>
          <w:szCs w:val="32"/>
        </w:rPr>
        <w:t>政府采购预算情况说明</w:t>
      </w:r>
    </w:p>
    <w:p>
      <w:pPr>
        <w:pageBreakBefore w:val="0"/>
        <w:kinsoku/>
        <w:wordWrap/>
        <w:topLinePunct w:val="0"/>
        <w:bidi w:val="0"/>
        <w:ind w:right="-57" w:rightChars="-26"/>
        <w:jc w:val="both"/>
        <w:rPr>
          <w:rFonts w:hint="eastAsia" w:ascii="仿宋" w:hAnsi="仿宋" w:eastAsia="仿宋_GB2312" w:cs="Times New Roman"/>
          <w:b w:val="0"/>
          <w:bCs w:val="0"/>
          <w:sz w:val="32"/>
          <w:szCs w:val="32"/>
        </w:rPr>
      </w:pPr>
      <w:r>
        <w:rPr>
          <w:rFonts w:ascii="仿宋" w:hAnsi="仿宋" w:eastAsia="仿宋_GB2312" w:cs="Times New Roman"/>
          <w:sz w:val="32"/>
          <w:szCs w:val="32"/>
        </w:rPr>
        <w:t>5</w:t>
      </w:r>
      <w:r>
        <w:rPr>
          <w:rFonts w:hint="eastAsia" w:ascii="仿宋" w:hAnsi="仿宋" w:eastAsia="仿宋_GB2312" w:cs="Times New Roman"/>
          <w:sz w:val="32"/>
          <w:szCs w:val="32"/>
        </w:rPr>
        <w:t>.深</w:t>
      </w:r>
      <w:r>
        <w:rPr>
          <w:rFonts w:hint="eastAsia" w:ascii="仿宋" w:hAnsi="仿宋" w:eastAsia="仿宋_GB2312" w:cs="Times New Roman"/>
          <w:b w:val="0"/>
          <w:bCs w:val="0"/>
          <w:sz w:val="32"/>
          <w:szCs w:val="32"/>
        </w:rPr>
        <w:t>泽县</w:t>
      </w:r>
      <w:r>
        <w:rPr>
          <w:rFonts w:hint="eastAsia" w:ascii="仿宋" w:hAnsi="仿宋" w:eastAsia="仿宋_GB2312" w:cs="Times New Roman"/>
          <w:b w:val="0"/>
          <w:bCs w:val="0"/>
          <w:sz w:val="32"/>
          <w:szCs w:val="32"/>
          <w:lang w:eastAsia="zh-CN"/>
        </w:rPr>
        <w:t>202</w:t>
      </w:r>
      <w:r>
        <w:rPr>
          <w:rFonts w:hint="eastAsia" w:ascii="仿宋" w:hAnsi="仿宋" w:eastAsia="仿宋_GB2312" w:cs="Times New Roman"/>
          <w:b w:val="0"/>
          <w:bCs w:val="0"/>
          <w:sz w:val="32"/>
          <w:szCs w:val="32"/>
          <w:lang w:val="en-US" w:eastAsia="zh-CN"/>
        </w:rPr>
        <w:t>6</w:t>
      </w:r>
      <w:r>
        <w:rPr>
          <w:rFonts w:hint="eastAsia" w:ascii="仿宋" w:hAnsi="仿宋" w:eastAsia="仿宋_GB2312" w:cs="Times New Roman"/>
          <w:b w:val="0"/>
          <w:bCs w:val="0"/>
          <w:sz w:val="32"/>
          <w:szCs w:val="32"/>
          <w:lang w:eastAsia="zh-CN"/>
        </w:rPr>
        <w:t>年</w:t>
      </w:r>
      <w:r>
        <w:rPr>
          <w:rFonts w:hint="eastAsia" w:ascii="仿宋" w:hAnsi="仿宋" w:eastAsia="仿宋_GB2312" w:cs="Times New Roman"/>
          <w:b w:val="0"/>
          <w:bCs w:val="0"/>
          <w:sz w:val="32"/>
          <w:szCs w:val="32"/>
        </w:rPr>
        <w:t>预算绩效工作开展情况说明</w:t>
      </w:r>
    </w:p>
    <w:p>
      <w:pPr>
        <w:pageBreakBefore w:val="0"/>
        <w:kinsoku/>
        <w:wordWrap/>
        <w:topLinePunct w:val="0"/>
        <w:bidi w:val="0"/>
        <w:jc w:val="both"/>
        <w:rPr>
          <w:rFonts w:hint="eastAsia" w:ascii="仿宋" w:hAnsi="仿宋" w:eastAsia="仿宋_GB2312" w:cs="仿宋"/>
          <w:b w:val="0"/>
          <w:bCs w:val="0"/>
          <w:sz w:val="32"/>
          <w:szCs w:val="32"/>
          <w:lang w:val="en-US" w:eastAsia="zh-CN"/>
        </w:rPr>
      </w:pPr>
      <w:r>
        <w:rPr>
          <w:rFonts w:hint="eastAsia" w:ascii="仿宋" w:hAnsi="仿宋" w:eastAsia="仿宋_GB2312" w:cs="仿宋"/>
          <w:b w:val="0"/>
          <w:bCs w:val="0"/>
          <w:sz w:val="32"/>
          <w:szCs w:val="32"/>
          <w:lang w:val="en-US" w:eastAsia="zh-CN"/>
        </w:rPr>
        <w:t>6.深泽县2026年重大政策和重点项目等绩效目标</w:t>
      </w:r>
    </w:p>
    <w:p>
      <w:pPr>
        <w:pStyle w:val="5"/>
        <w:keepNext/>
        <w:keepLines/>
        <w:pageBreakBefore w:val="0"/>
        <w:widowControl/>
        <w:kinsoku/>
        <w:wordWrap/>
        <w:overflowPunct/>
        <w:topLinePunct w:val="0"/>
        <w:autoSpaceDE/>
        <w:autoSpaceDN/>
        <w:bidi w:val="0"/>
        <w:adjustRightInd w:val="0"/>
        <w:snapToGrid w:val="0"/>
        <w:spacing w:before="0" w:after="0"/>
        <w:jc w:val="both"/>
        <w:textAlignment w:val="auto"/>
        <w:rPr>
          <w:rFonts w:hint="eastAsia" w:ascii="仿宋" w:hAnsi="仿宋" w:eastAsia="仿宋_GB2312" w:cs="仿宋"/>
          <w:b w:val="0"/>
          <w:bCs w:val="0"/>
          <w:sz w:val="32"/>
          <w:szCs w:val="32"/>
        </w:rPr>
      </w:pPr>
      <w:r>
        <w:rPr>
          <w:rFonts w:hint="eastAsia" w:ascii="仿宋" w:hAnsi="仿宋" w:eastAsia="仿宋_GB2312" w:cs="仿宋"/>
          <w:b w:val="0"/>
          <w:bCs w:val="0"/>
          <w:sz w:val="32"/>
          <w:szCs w:val="32"/>
          <w:lang w:val="en-US" w:eastAsia="zh-CN"/>
        </w:rPr>
        <w:t>7</w:t>
      </w:r>
      <w:r>
        <w:rPr>
          <w:rFonts w:hint="eastAsia" w:ascii="仿宋" w:hAnsi="仿宋" w:eastAsia="仿宋_GB2312" w:cs="仿宋"/>
          <w:b w:val="0"/>
          <w:bCs w:val="0"/>
          <w:sz w:val="32"/>
          <w:szCs w:val="32"/>
        </w:rPr>
        <w:t>.深泽县</w:t>
      </w:r>
      <w:r>
        <w:rPr>
          <w:rFonts w:hint="eastAsia" w:ascii="仿宋" w:hAnsi="仿宋" w:eastAsia="仿宋_GB2312" w:cs="仿宋"/>
          <w:b w:val="0"/>
          <w:bCs w:val="0"/>
          <w:sz w:val="32"/>
          <w:szCs w:val="32"/>
          <w:lang w:eastAsia="zh-CN"/>
        </w:rPr>
        <w:t>202</w:t>
      </w:r>
      <w:r>
        <w:rPr>
          <w:rFonts w:hint="eastAsia" w:ascii="仿宋" w:hAnsi="仿宋" w:eastAsia="仿宋_GB2312" w:cs="仿宋"/>
          <w:b w:val="0"/>
          <w:bCs w:val="0"/>
          <w:sz w:val="32"/>
          <w:szCs w:val="32"/>
          <w:lang w:val="en-US" w:eastAsia="zh-CN"/>
        </w:rPr>
        <w:t>6</w:t>
      </w:r>
      <w:r>
        <w:rPr>
          <w:rFonts w:hint="eastAsia" w:ascii="仿宋" w:hAnsi="仿宋" w:eastAsia="仿宋_GB2312" w:cs="仿宋"/>
          <w:b w:val="0"/>
          <w:bCs w:val="0"/>
          <w:sz w:val="32"/>
          <w:szCs w:val="32"/>
          <w:lang w:eastAsia="zh-CN"/>
        </w:rPr>
        <w:t>年</w:t>
      </w:r>
      <w:r>
        <w:rPr>
          <w:rFonts w:hint="eastAsia" w:ascii="仿宋" w:hAnsi="仿宋" w:eastAsia="仿宋_GB2312" w:cs="仿宋"/>
          <w:b w:val="0"/>
          <w:bCs w:val="0"/>
          <w:sz w:val="32"/>
          <w:szCs w:val="32"/>
        </w:rPr>
        <w:t>政府预算国有资本经营预算编制情况说明</w:t>
      </w:r>
    </w:p>
    <w:p>
      <w:pPr>
        <w:pageBreakBefore w:val="0"/>
        <w:kinsoku/>
        <w:wordWrap/>
        <w:topLinePunct w:val="0"/>
        <w:bidi w:val="0"/>
        <w:jc w:val="both"/>
        <w:rPr>
          <w:rFonts w:hint="eastAsia" w:ascii="仿宋" w:hAnsi="仿宋" w:eastAsia="仿宋_GB2312" w:cs="仿宋"/>
          <w:b w:val="0"/>
          <w:bCs w:val="0"/>
          <w:sz w:val="32"/>
          <w:szCs w:val="32"/>
        </w:rPr>
      </w:pPr>
      <w:r>
        <w:rPr>
          <w:rFonts w:hint="eastAsia" w:ascii="仿宋" w:hAnsi="仿宋" w:eastAsia="仿宋_GB2312" w:cs="仿宋"/>
          <w:b w:val="0"/>
          <w:bCs w:val="0"/>
          <w:sz w:val="32"/>
          <w:szCs w:val="32"/>
          <w:lang w:val="en-US" w:eastAsia="zh-CN"/>
        </w:rPr>
        <w:t>8</w:t>
      </w:r>
      <w:r>
        <w:rPr>
          <w:rFonts w:hint="eastAsia" w:ascii="仿宋" w:hAnsi="仿宋" w:eastAsia="仿宋_GB2312" w:cs="仿宋"/>
          <w:b w:val="0"/>
          <w:bCs w:val="0"/>
          <w:sz w:val="32"/>
          <w:szCs w:val="32"/>
        </w:rPr>
        <w:t>.深泽县</w:t>
      </w:r>
      <w:r>
        <w:rPr>
          <w:rFonts w:hint="eastAsia" w:ascii="仿宋" w:hAnsi="仿宋" w:eastAsia="仿宋_GB2312" w:cs="仿宋"/>
          <w:b w:val="0"/>
          <w:bCs w:val="0"/>
          <w:sz w:val="32"/>
          <w:szCs w:val="32"/>
          <w:lang w:eastAsia="zh-CN"/>
        </w:rPr>
        <w:t>202</w:t>
      </w:r>
      <w:r>
        <w:rPr>
          <w:rFonts w:hint="eastAsia" w:ascii="仿宋" w:hAnsi="仿宋" w:eastAsia="仿宋_GB2312" w:cs="仿宋"/>
          <w:b w:val="0"/>
          <w:bCs w:val="0"/>
          <w:sz w:val="32"/>
          <w:szCs w:val="32"/>
          <w:lang w:val="en-US" w:eastAsia="zh-CN"/>
        </w:rPr>
        <w:t>6</w:t>
      </w:r>
      <w:r>
        <w:rPr>
          <w:rFonts w:hint="eastAsia" w:ascii="仿宋" w:hAnsi="仿宋" w:eastAsia="仿宋_GB2312" w:cs="仿宋"/>
          <w:b w:val="0"/>
          <w:bCs w:val="0"/>
          <w:sz w:val="32"/>
          <w:szCs w:val="32"/>
          <w:lang w:eastAsia="zh-CN"/>
        </w:rPr>
        <w:t>年</w:t>
      </w:r>
      <w:r>
        <w:rPr>
          <w:rFonts w:hint="eastAsia" w:ascii="仿宋" w:hAnsi="仿宋" w:eastAsia="仿宋_GB2312" w:cs="仿宋"/>
          <w:b w:val="0"/>
          <w:bCs w:val="0"/>
          <w:sz w:val="32"/>
          <w:szCs w:val="32"/>
        </w:rPr>
        <w:t>政府预算其他重要事项的解释说明</w:t>
      </w:r>
    </w:p>
    <w:p>
      <w:pPr>
        <w:pageBreakBefore w:val="0"/>
        <w:widowControl/>
        <w:kinsoku/>
        <w:wordWrap/>
        <w:overflowPunct w:val="0"/>
        <w:topLinePunct w:val="0"/>
        <w:autoSpaceDE/>
        <w:autoSpaceDN/>
        <w:bidi w:val="0"/>
        <w:adjustRightInd w:val="0"/>
        <w:snapToGrid w:val="0"/>
        <w:spacing w:after="0" w:line="360" w:lineRule="auto"/>
        <w:jc w:val="both"/>
        <w:textAlignment w:val="auto"/>
        <w:rPr>
          <w:rFonts w:ascii="宋体" w:hAnsi="宋体" w:cs="宋体"/>
          <w:b w:val="0"/>
          <w:bCs w:val="0"/>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ascii="宋体" w:hAnsi="宋体" w:cs="宋体"/>
          <w:b/>
          <w:bCs/>
          <w:snapToGrid w:val="0"/>
          <w:sz w:val="32"/>
          <w:szCs w:val="36"/>
        </w:rPr>
      </w:pPr>
    </w:p>
    <w:p>
      <w:pPr>
        <w:pageBreakBefore w:val="0"/>
        <w:kinsoku/>
        <w:wordWrap/>
        <w:overflowPunct w:val="0"/>
        <w:topLinePunct w:val="0"/>
        <w:bidi w:val="0"/>
        <w:spacing w:line="360" w:lineRule="auto"/>
        <w:jc w:val="both"/>
        <w:rPr>
          <w:rFonts w:hint="eastAsia" w:ascii="方正小标宋_GBK" w:hAnsi="方正小标宋_GBK" w:eastAsia="方正小标宋_GBK" w:cs="方正小标宋_GBK"/>
          <w:b w:val="0"/>
          <w:bCs w:val="0"/>
          <w:snapToGrid w:val="0"/>
          <w:sz w:val="44"/>
          <w:szCs w:val="44"/>
        </w:rPr>
      </w:pPr>
      <w:r>
        <w:rPr>
          <w:rFonts w:hint="eastAsia" w:ascii="方正小标宋_GBK" w:hAnsi="方正小标宋_GBK" w:eastAsia="方正小标宋_GBK" w:cs="方正小标宋_GBK"/>
          <w:b w:val="0"/>
          <w:bCs w:val="0"/>
          <w:snapToGrid w:val="0"/>
          <w:sz w:val="44"/>
          <w:szCs w:val="44"/>
        </w:rPr>
        <w:t>深泽县</w:t>
      </w:r>
      <w:r>
        <w:rPr>
          <w:rFonts w:hint="eastAsia" w:ascii="方正小标宋_GBK" w:hAnsi="方正小标宋_GBK" w:eastAsia="方正小标宋_GBK" w:cs="方正小标宋_GBK"/>
          <w:b w:val="0"/>
          <w:bCs w:val="0"/>
          <w:snapToGrid w:val="0"/>
          <w:sz w:val="44"/>
          <w:szCs w:val="44"/>
          <w:lang w:eastAsia="zh-CN"/>
        </w:rPr>
        <w:t>202</w:t>
      </w:r>
      <w:r>
        <w:rPr>
          <w:rFonts w:hint="eastAsia" w:ascii="方正小标宋_GBK" w:hAnsi="方正小标宋_GBK" w:eastAsia="方正小标宋_GBK" w:cs="方正小标宋_GBK"/>
          <w:b w:val="0"/>
          <w:bCs w:val="0"/>
          <w:snapToGrid w:val="0"/>
          <w:sz w:val="44"/>
          <w:szCs w:val="44"/>
          <w:lang w:val="en-US" w:eastAsia="zh-CN"/>
        </w:rPr>
        <w:t>6</w:t>
      </w:r>
      <w:r>
        <w:rPr>
          <w:rFonts w:hint="eastAsia" w:ascii="方正小标宋_GBK" w:hAnsi="方正小标宋_GBK" w:eastAsia="方正小标宋_GBK" w:cs="方正小标宋_GBK"/>
          <w:b w:val="0"/>
          <w:bCs w:val="0"/>
          <w:snapToGrid w:val="0"/>
          <w:sz w:val="44"/>
          <w:szCs w:val="44"/>
          <w:lang w:eastAsia="zh-CN"/>
        </w:rPr>
        <w:t>年</w:t>
      </w:r>
      <w:r>
        <w:rPr>
          <w:rFonts w:hint="eastAsia" w:ascii="方正小标宋_GBK" w:hAnsi="方正小标宋_GBK" w:eastAsia="方正小标宋_GBK" w:cs="方正小标宋_GBK"/>
          <w:b w:val="0"/>
          <w:bCs w:val="0"/>
          <w:snapToGrid w:val="0"/>
          <w:sz w:val="44"/>
          <w:szCs w:val="44"/>
        </w:rPr>
        <w:t>“三公”经费财政拨款预算表</w:t>
      </w:r>
    </w:p>
    <w:tbl>
      <w:tblPr>
        <w:tblStyle w:val="9"/>
        <w:tblW w:w="9000" w:type="dxa"/>
        <w:tblInd w:w="93" w:type="dxa"/>
        <w:tblLayout w:type="fixed"/>
        <w:tblCellMar>
          <w:top w:w="0" w:type="dxa"/>
          <w:left w:w="0" w:type="dxa"/>
          <w:bottom w:w="0" w:type="dxa"/>
          <w:right w:w="0" w:type="dxa"/>
        </w:tblCellMar>
      </w:tblPr>
      <w:tblGrid>
        <w:gridCol w:w="7524"/>
        <w:gridCol w:w="1476"/>
      </w:tblGrid>
      <w:tr>
        <w:tblPrEx>
          <w:tblLayout w:type="fixed"/>
          <w:tblCellMar>
            <w:top w:w="0" w:type="dxa"/>
            <w:left w:w="0" w:type="dxa"/>
            <w:bottom w:w="0" w:type="dxa"/>
            <w:right w:w="0" w:type="dxa"/>
          </w:tblCellMar>
        </w:tblPrEx>
        <w:trPr>
          <w:trHeight w:val="274" w:hRule="atLeast"/>
        </w:trPr>
        <w:tc>
          <w:tcPr>
            <w:tcW w:w="7524" w:type="dxa"/>
            <w:tcBorders>
              <w:top w:val="nil"/>
              <w:left w:val="nil"/>
              <w:bottom w:val="single" w:color="auto" w:sz="8" w:space="0"/>
              <w:right w:val="nil"/>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both"/>
              <w:rPr>
                <w:rFonts w:ascii="宋体" w:hAnsi="宋体" w:cs="宋体"/>
                <w:sz w:val="24"/>
              </w:rPr>
            </w:pPr>
            <w:r>
              <w:rPr>
                <w:rFonts w:ascii="宋体" w:hAnsi="宋体" w:cs="宋体"/>
                <w:b/>
                <w:bCs/>
                <w:sz w:val="36"/>
                <w:szCs w:val="36"/>
              </w:rPr>
              <w:t xml:space="preserve">   </w:t>
            </w:r>
            <w:r>
              <w:rPr>
                <w:rFonts w:ascii="宋体" w:hAnsi="宋体" w:cs="宋体"/>
                <w:sz w:val="24"/>
              </w:rPr>
              <w:t>　</w:t>
            </w:r>
          </w:p>
        </w:tc>
        <w:tc>
          <w:tcPr>
            <w:tcW w:w="1476" w:type="dxa"/>
            <w:tcBorders>
              <w:top w:val="nil"/>
              <w:left w:val="nil"/>
              <w:bottom w:val="single" w:color="auto" w:sz="8" w:space="0"/>
              <w:right w:val="nil"/>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both"/>
              <w:rPr>
                <w:rFonts w:ascii="宋体" w:hAnsi="宋体" w:cs="宋体"/>
                <w:sz w:val="24"/>
              </w:rPr>
            </w:pPr>
            <w:r>
              <w:rPr>
                <w:rFonts w:ascii="宋体" w:hAnsi="宋体" w:cs="宋体"/>
                <w:sz w:val="24"/>
              </w:rPr>
              <w:t>单位：万元</w:t>
            </w:r>
          </w:p>
        </w:tc>
      </w:tr>
      <w:tr>
        <w:tblPrEx>
          <w:tblLayout w:type="fixed"/>
          <w:tblCellMar>
            <w:top w:w="0" w:type="dxa"/>
            <w:left w:w="0" w:type="dxa"/>
            <w:bottom w:w="0" w:type="dxa"/>
            <w:right w:w="0" w:type="dxa"/>
          </w:tblCellMar>
        </w:tblPrEx>
        <w:trPr>
          <w:trHeight w:val="528"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仿宋" w:hAnsi="仿宋" w:eastAsia="仿宋_GB2312" w:cs="宋体"/>
                <w:sz w:val="32"/>
                <w:szCs w:val="32"/>
              </w:rPr>
              <w:t>项目</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仿宋" w:hAnsi="仿宋" w:eastAsia="仿宋_GB2312" w:cs="宋体"/>
                <w:sz w:val="32"/>
                <w:szCs w:val="32"/>
              </w:rPr>
              <w:t>预算数</w:t>
            </w:r>
          </w:p>
        </w:tc>
      </w:tr>
      <w:tr>
        <w:tblPrEx>
          <w:tblLayout w:type="fixed"/>
          <w:tblCellMar>
            <w:top w:w="0" w:type="dxa"/>
            <w:left w:w="0" w:type="dxa"/>
            <w:bottom w:w="0" w:type="dxa"/>
            <w:right w:w="0" w:type="dxa"/>
          </w:tblCellMar>
        </w:tblPrEx>
        <w:trPr>
          <w:trHeight w:val="537"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仿宋" w:hAnsi="仿宋" w:eastAsia="仿宋_GB2312" w:cs="宋体"/>
                <w:sz w:val="32"/>
                <w:szCs w:val="32"/>
              </w:rPr>
              <w:t>合计</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center"/>
              <w:rPr>
                <w:rFonts w:hint="default" w:ascii="仿宋" w:hAnsi="仿宋" w:eastAsia="仿宋" w:cs="宋体"/>
                <w:sz w:val="32"/>
                <w:szCs w:val="32"/>
                <w:lang w:val="en-US" w:eastAsia="zh-CN"/>
              </w:rPr>
            </w:pPr>
            <w:r>
              <w:rPr>
                <w:rFonts w:hint="eastAsia" w:ascii="仿宋" w:hAnsi="仿宋" w:eastAsia="仿宋_GB2312" w:cs="宋体"/>
                <w:sz w:val="32"/>
                <w:szCs w:val="32"/>
                <w:lang w:val="en-US" w:eastAsia="zh-CN"/>
              </w:rPr>
              <w:t>351.93</w:t>
            </w:r>
          </w:p>
        </w:tc>
      </w:tr>
      <w:tr>
        <w:tblPrEx>
          <w:tblLayout w:type="fixed"/>
          <w:tblCellMar>
            <w:top w:w="0" w:type="dxa"/>
            <w:left w:w="0" w:type="dxa"/>
            <w:bottom w:w="0" w:type="dxa"/>
            <w:right w:w="0" w:type="dxa"/>
          </w:tblCellMar>
        </w:tblPrEx>
        <w:trPr>
          <w:trHeight w:val="544"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宋体" w:hAnsi="宋体" w:eastAsia="仿宋_GB2312" w:cs="宋体"/>
                <w:sz w:val="32"/>
                <w:szCs w:val="32"/>
              </w:rPr>
              <w:t>  </w:t>
            </w:r>
            <w:r>
              <w:rPr>
                <w:rFonts w:ascii="仿宋" w:hAnsi="仿宋" w:eastAsia="仿宋_GB2312" w:cs="宋体"/>
                <w:sz w:val="32"/>
                <w:szCs w:val="32"/>
              </w:rPr>
              <w:t xml:space="preserve"> 因公出国（境）费</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center"/>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9.7</w:t>
            </w:r>
          </w:p>
        </w:tc>
      </w:tr>
      <w:tr>
        <w:tblPrEx>
          <w:tblLayout w:type="fixed"/>
          <w:tblCellMar>
            <w:top w:w="0" w:type="dxa"/>
            <w:left w:w="0" w:type="dxa"/>
            <w:bottom w:w="0" w:type="dxa"/>
            <w:right w:w="0" w:type="dxa"/>
          </w:tblCellMar>
        </w:tblPrEx>
        <w:trPr>
          <w:trHeight w:val="540"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宋体" w:hAnsi="宋体" w:eastAsia="仿宋_GB2312" w:cs="宋体"/>
                <w:sz w:val="32"/>
                <w:szCs w:val="32"/>
              </w:rPr>
              <w:t>  </w:t>
            </w:r>
            <w:r>
              <w:rPr>
                <w:rFonts w:ascii="仿宋" w:hAnsi="仿宋" w:eastAsia="仿宋_GB2312" w:cs="宋体"/>
                <w:sz w:val="32"/>
                <w:szCs w:val="32"/>
              </w:rPr>
              <w:t xml:space="preserve"> 公务接待费</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center"/>
              <w:rPr>
                <w:rFonts w:hint="default" w:ascii="仿宋" w:hAnsi="仿宋" w:eastAsia="仿宋" w:cs="宋体"/>
                <w:sz w:val="32"/>
                <w:szCs w:val="32"/>
                <w:lang w:val="en-US" w:eastAsia="zh-CN"/>
              </w:rPr>
            </w:pPr>
            <w:r>
              <w:rPr>
                <w:rFonts w:hint="eastAsia" w:ascii="仿宋" w:hAnsi="仿宋" w:eastAsia="仿宋_GB2312" w:cs="宋体"/>
                <w:sz w:val="32"/>
                <w:szCs w:val="32"/>
                <w:lang w:val="en-US" w:eastAsia="zh-CN"/>
              </w:rPr>
              <w:t>3.44</w:t>
            </w:r>
          </w:p>
        </w:tc>
      </w:tr>
      <w:tr>
        <w:tblPrEx>
          <w:tblLayout w:type="fixed"/>
          <w:tblCellMar>
            <w:top w:w="0" w:type="dxa"/>
            <w:left w:w="0" w:type="dxa"/>
            <w:bottom w:w="0" w:type="dxa"/>
            <w:right w:w="0" w:type="dxa"/>
          </w:tblCellMar>
        </w:tblPrEx>
        <w:trPr>
          <w:trHeight w:val="564"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宋体" w:hAnsi="宋体" w:eastAsia="仿宋_GB2312" w:cs="宋体"/>
                <w:sz w:val="32"/>
                <w:szCs w:val="32"/>
              </w:rPr>
              <w:t>  </w:t>
            </w:r>
            <w:r>
              <w:rPr>
                <w:rFonts w:ascii="仿宋" w:hAnsi="仿宋" w:eastAsia="仿宋_GB2312" w:cs="宋体"/>
                <w:sz w:val="32"/>
                <w:szCs w:val="32"/>
              </w:rPr>
              <w:t xml:space="preserve"> 公务用车购置及运行费</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center"/>
              <w:rPr>
                <w:rFonts w:hint="default" w:ascii="仿宋" w:hAnsi="仿宋" w:eastAsia="仿宋" w:cs="宋体"/>
                <w:sz w:val="32"/>
                <w:szCs w:val="32"/>
                <w:lang w:val="en-US" w:eastAsia="zh-CN"/>
              </w:rPr>
            </w:pPr>
            <w:r>
              <w:rPr>
                <w:rFonts w:hint="eastAsia" w:ascii="仿宋" w:hAnsi="仿宋" w:eastAsia="仿宋_GB2312" w:cs="宋体"/>
                <w:sz w:val="32"/>
                <w:szCs w:val="32"/>
                <w:lang w:val="en-US" w:eastAsia="zh-CN"/>
              </w:rPr>
              <w:t>338.79</w:t>
            </w:r>
          </w:p>
        </w:tc>
      </w:tr>
      <w:tr>
        <w:tblPrEx>
          <w:tblLayout w:type="fixed"/>
          <w:tblCellMar>
            <w:top w:w="0" w:type="dxa"/>
            <w:left w:w="0" w:type="dxa"/>
            <w:bottom w:w="0" w:type="dxa"/>
            <w:right w:w="0" w:type="dxa"/>
          </w:tblCellMar>
        </w:tblPrEx>
        <w:trPr>
          <w:trHeight w:val="547"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宋体" w:hAnsi="宋体" w:eastAsia="仿宋_GB2312" w:cs="宋体"/>
                <w:sz w:val="32"/>
                <w:szCs w:val="32"/>
              </w:rPr>
              <w:t>   </w:t>
            </w:r>
            <w:r>
              <w:rPr>
                <w:rFonts w:ascii="仿宋" w:hAnsi="仿宋" w:eastAsia="仿宋_GB2312" w:cs="宋体"/>
                <w:sz w:val="32"/>
                <w:szCs w:val="32"/>
              </w:rPr>
              <w:t xml:space="preserve"> 其中：公务用车运行维护费</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center"/>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296.79</w:t>
            </w:r>
          </w:p>
        </w:tc>
      </w:tr>
      <w:tr>
        <w:tblPrEx>
          <w:tblLayout w:type="fixed"/>
          <w:tblCellMar>
            <w:top w:w="0" w:type="dxa"/>
            <w:left w:w="0" w:type="dxa"/>
            <w:bottom w:w="0" w:type="dxa"/>
            <w:right w:w="0" w:type="dxa"/>
          </w:tblCellMar>
        </w:tblPrEx>
        <w:trPr>
          <w:trHeight w:val="528" w:hRule="atLeast"/>
        </w:trPr>
        <w:tc>
          <w:tcPr>
            <w:tcW w:w="752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pageBreakBefore w:val="0"/>
              <w:kinsoku/>
              <w:wordWrap/>
              <w:topLinePunct w:val="0"/>
              <w:bidi w:val="0"/>
              <w:spacing w:before="100" w:beforeAutospacing="1" w:after="100" w:afterAutospacing="1"/>
              <w:jc w:val="both"/>
              <w:rPr>
                <w:rFonts w:ascii="仿宋" w:hAnsi="仿宋" w:eastAsia="仿宋" w:cs="宋体"/>
                <w:sz w:val="32"/>
                <w:szCs w:val="32"/>
              </w:rPr>
            </w:pPr>
            <w:r>
              <w:rPr>
                <w:rFonts w:ascii="宋体" w:hAnsi="宋体" w:eastAsia="仿宋_GB2312" w:cs="宋体"/>
                <w:sz w:val="32"/>
                <w:szCs w:val="32"/>
              </w:rPr>
              <w:t>      </w:t>
            </w:r>
            <w:r>
              <w:rPr>
                <w:rFonts w:ascii="仿宋" w:hAnsi="仿宋" w:eastAsia="仿宋_GB2312" w:cs="宋体"/>
                <w:sz w:val="32"/>
                <w:szCs w:val="32"/>
              </w:rPr>
              <w:t xml:space="preserve"> 公务用车购置</w:t>
            </w:r>
          </w:p>
        </w:tc>
        <w:tc>
          <w:tcPr>
            <w:tcW w:w="1476" w:type="dxa"/>
            <w:tcBorders>
              <w:top w:val="nil"/>
              <w:left w:val="nil"/>
              <w:bottom w:val="single" w:color="auto" w:sz="8" w:space="0"/>
              <w:right w:val="single" w:color="auto" w:sz="8" w:space="0"/>
            </w:tcBorders>
            <w:tcMar>
              <w:top w:w="0" w:type="dxa"/>
              <w:left w:w="108" w:type="dxa"/>
              <w:bottom w:w="0" w:type="dxa"/>
              <w:right w:w="108" w:type="dxa"/>
            </w:tcMar>
            <w:vAlign w:val="bottom"/>
          </w:tcPr>
          <w:p>
            <w:pPr>
              <w:pageBreakBefore w:val="0"/>
              <w:kinsoku/>
              <w:wordWrap/>
              <w:topLinePunct w:val="0"/>
              <w:bidi w:val="0"/>
              <w:spacing w:before="100" w:beforeAutospacing="1" w:after="100" w:afterAutospacing="1"/>
              <w:jc w:val="center"/>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42</w:t>
            </w:r>
          </w:p>
        </w:tc>
      </w:tr>
    </w:tbl>
    <w:p>
      <w:pPr>
        <w:keepNext w:val="0"/>
        <w:keepLines w:val="0"/>
        <w:pageBreakBefore w:val="0"/>
        <w:widowControl/>
        <w:kinsoku/>
        <w:wordWrap/>
        <w:overflowPunct w:val="0"/>
        <w:topLinePunct w:val="0"/>
        <w:autoSpaceDE/>
        <w:autoSpaceDN/>
        <w:bidi w:val="0"/>
        <w:adjustRightInd w:val="0"/>
        <w:snapToGrid w:val="0"/>
        <w:spacing w:after="0" w:line="600" w:lineRule="exact"/>
        <w:ind w:firstLine="390"/>
        <w:jc w:val="both"/>
        <w:textAlignment w:val="auto"/>
        <w:rPr>
          <w:rFonts w:hint="eastAsia" w:ascii="方正小标宋_GBK" w:hAnsi="方正小标宋_GBK" w:eastAsia="方正小标宋_GBK" w:cs="方正小标宋_GBK"/>
          <w:b w:val="0"/>
          <w:bCs w:val="0"/>
          <w:sz w:val="44"/>
          <w:szCs w:val="32"/>
        </w:rPr>
      </w:pPr>
    </w:p>
    <w:p>
      <w:pPr>
        <w:keepNext w:val="0"/>
        <w:keepLines w:val="0"/>
        <w:pageBreakBefore w:val="0"/>
        <w:widowControl/>
        <w:kinsoku/>
        <w:wordWrap/>
        <w:overflowPunct w:val="0"/>
        <w:topLinePunct w:val="0"/>
        <w:autoSpaceDE/>
        <w:autoSpaceDN/>
        <w:bidi w:val="0"/>
        <w:adjustRightInd w:val="0"/>
        <w:snapToGrid w:val="0"/>
        <w:spacing w:after="0" w:line="600" w:lineRule="exact"/>
        <w:ind w:left="0" w:leftChars="0" w:firstLine="0" w:firstLineChars="0"/>
        <w:jc w:val="both"/>
        <w:textAlignment w:val="auto"/>
        <w:rPr>
          <w:rFonts w:hint="eastAsia" w:ascii="方正小标宋_GBK" w:hAnsi="方正小标宋_GBK" w:eastAsia="方正小标宋_GBK" w:cs="方正小标宋_GBK"/>
          <w:b w:val="0"/>
          <w:bCs w:val="0"/>
          <w:sz w:val="38"/>
          <w:szCs w:val="38"/>
        </w:rPr>
      </w:pPr>
      <w:r>
        <w:rPr>
          <w:rFonts w:hint="eastAsia" w:ascii="方正小标宋_GBK" w:hAnsi="方正小标宋_GBK" w:eastAsia="方正小标宋_GBK" w:cs="方正小标宋_GBK"/>
          <w:b w:val="0"/>
          <w:bCs w:val="0"/>
          <w:sz w:val="38"/>
          <w:szCs w:val="38"/>
        </w:rPr>
        <w:t>深泽县</w:t>
      </w:r>
      <w:r>
        <w:rPr>
          <w:rFonts w:hint="eastAsia" w:ascii="方正小标宋_GBK" w:hAnsi="方正小标宋_GBK" w:eastAsia="方正小标宋_GBK" w:cs="方正小标宋_GBK"/>
          <w:b w:val="0"/>
          <w:bCs w:val="0"/>
          <w:sz w:val="38"/>
          <w:szCs w:val="38"/>
          <w:lang w:eastAsia="zh-CN"/>
        </w:rPr>
        <w:t>202</w:t>
      </w:r>
      <w:r>
        <w:rPr>
          <w:rFonts w:hint="eastAsia" w:ascii="方正小标宋_GBK" w:hAnsi="方正小标宋_GBK" w:eastAsia="方正小标宋_GBK" w:cs="方正小标宋_GBK"/>
          <w:b w:val="0"/>
          <w:bCs w:val="0"/>
          <w:sz w:val="38"/>
          <w:szCs w:val="38"/>
          <w:lang w:val="en-US" w:eastAsia="zh-CN"/>
        </w:rPr>
        <w:t>6</w:t>
      </w:r>
      <w:r>
        <w:rPr>
          <w:rFonts w:hint="eastAsia" w:ascii="方正小标宋_GBK" w:hAnsi="方正小标宋_GBK" w:eastAsia="方正小标宋_GBK" w:cs="方正小标宋_GBK"/>
          <w:b w:val="0"/>
          <w:bCs w:val="0"/>
          <w:sz w:val="38"/>
          <w:szCs w:val="38"/>
        </w:rPr>
        <w:t>年“三公”经费财政拨款预算情况说明</w:t>
      </w:r>
    </w:p>
    <w:p>
      <w:pPr>
        <w:keepNext w:val="0"/>
        <w:keepLines w:val="0"/>
        <w:pageBreakBefore w:val="0"/>
        <w:widowControl/>
        <w:kinsoku/>
        <w:wordWrap/>
        <w:overflowPunct/>
        <w:topLinePunct w:val="0"/>
        <w:autoSpaceDE/>
        <w:autoSpaceDN/>
        <w:bidi w:val="0"/>
        <w:adjustRightInd w:val="0"/>
        <w:snapToGrid w:val="0"/>
        <w:spacing w:after="0" w:line="312" w:lineRule="auto"/>
        <w:ind w:firstLine="640" w:firstLineChars="200"/>
        <w:jc w:val="both"/>
        <w:textAlignment w:val="auto"/>
        <w:rPr>
          <w:rFonts w:hint="eastAsia" w:ascii="仿宋" w:hAnsi="仿宋" w:eastAsia="仿宋_GB2312"/>
          <w:sz w:val="32"/>
          <w:szCs w:val="32"/>
        </w:rPr>
      </w:pPr>
    </w:p>
    <w:p>
      <w:pPr>
        <w:keepNext w:val="0"/>
        <w:keepLines w:val="0"/>
        <w:pageBreakBefore w:val="0"/>
        <w:widowControl/>
        <w:kinsoku/>
        <w:wordWrap/>
        <w:overflowPunct/>
        <w:topLinePunct w:val="0"/>
        <w:autoSpaceDE/>
        <w:autoSpaceDN/>
        <w:bidi w:val="0"/>
        <w:adjustRightInd w:val="0"/>
        <w:snapToGrid w:val="0"/>
        <w:spacing w:after="0" w:line="312" w:lineRule="auto"/>
        <w:ind w:firstLine="640" w:firstLineChars="200"/>
        <w:jc w:val="both"/>
        <w:textAlignment w:val="auto"/>
        <w:rPr>
          <w:rFonts w:ascii="仿宋" w:hAnsi="仿宋" w:eastAsia="仿宋_GB2312"/>
          <w:sz w:val="32"/>
          <w:szCs w:val="32"/>
        </w:rPr>
      </w:pPr>
      <w:r>
        <w:rPr>
          <w:rFonts w:hint="eastAsia" w:ascii="仿宋" w:hAnsi="仿宋" w:eastAsia="仿宋_GB2312"/>
          <w:sz w:val="32"/>
          <w:szCs w:val="32"/>
        </w:rPr>
        <w:t>深泽县认真贯彻《党政机关厉行节约反对浪费条例》精神，严格控制“三公”经费，</w:t>
      </w:r>
      <w:r>
        <w:rPr>
          <w:rFonts w:hint="eastAsia" w:ascii="仿宋" w:hAnsi="仿宋" w:eastAsia="仿宋_GB2312"/>
          <w:sz w:val="32"/>
          <w:szCs w:val="32"/>
          <w:lang w:eastAsia="zh-CN"/>
        </w:rPr>
        <w:t>202</w:t>
      </w:r>
      <w:r>
        <w:rPr>
          <w:rFonts w:hint="eastAsia" w:ascii="仿宋" w:hAnsi="仿宋" w:eastAsia="仿宋_GB2312"/>
          <w:sz w:val="32"/>
          <w:szCs w:val="32"/>
          <w:lang w:val="en-US" w:eastAsia="zh-CN"/>
        </w:rPr>
        <w:t>6</w:t>
      </w:r>
      <w:r>
        <w:rPr>
          <w:rFonts w:hint="eastAsia" w:ascii="仿宋" w:hAnsi="仿宋" w:eastAsia="仿宋_GB2312"/>
          <w:sz w:val="32"/>
          <w:szCs w:val="32"/>
          <w:lang w:eastAsia="zh-CN"/>
        </w:rPr>
        <w:t>年</w:t>
      </w:r>
      <w:r>
        <w:rPr>
          <w:rFonts w:hint="eastAsia" w:ascii="仿宋" w:hAnsi="仿宋" w:eastAsia="仿宋_GB2312"/>
          <w:sz w:val="32"/>
          <w:szCs w:val="32"/>
        </w:rPr>
        <w:t>全县“三公”经费支出安排</w:t>
      </w:r>
      <w:r>
        <w:rPr>
          <w:rFonts w:hint="eastAsia" w:ascii="仿宋" w:hAnsi="仿宋" w:eastAsia="仿宋_GB2312"/>
          <w:sz w:val="32"/>
          <w:szCs w:val="32"/>
          <w:lang w:val="en-US" w:eastAsia="zh-CN"/>
        </w:rPr>
        <w:t>351.93</w:t>
      </w:r>
      <w:r>
        <w:rPr>
          <w:rFonts w:hint="eastAsia" w:ascii="仿宋" w:hAnsi="仿宋" w:eastAsia="仿宋_GB2312"/>
          <w:sz w:val="32"/>
          <w:szCs w:val="32"/>
        </w:rPr>
        <w:t>万元，</w:t>
      </w:r>
      <w:r>
        <w:rPr>
          <w:rFonts w:hint="eastAsia" w:ascii="仿宋" w:hAnsi="仿宋" w:eastAsia="仿宋_GB2312"/>
          <w:sz w:val="32"/>
          <w:szCs w:val="32"/>
          <w:lang w:eastAsia="zh-CN"/>
        </w:rPr>
        <w:t>较</w:t>
      </w:r>
      <w:r>
        <w:rPr>
          <w:rFonts w:hint="eastAsia" w:ascii="仿宋" w:hAnsi="仿宋" w:eastAsia="仿宋_GB2312"/>
          <w:sz w:val="32"/>
          <w:szCs w:val="32"/>
        </w:rPr>
        <w:t>上年</w:t>
      </w:r>
      <w:r>
        <w:rPr>
          <w:rFonts w:hint="eastAsia" w:ascii="仿宋" w:hAnsi="仿宋" w:eastAsia="仿宋_GB2312"/>
          <w:color w:val="000000"/>
          <w:sz w:val="32"/>
          <w:szCs w:val="32"/>
          <w:highlight w:val="none"/>
        </w:rPr>
        <w:t>减少</w:t>
      </w:r>
      <w:r>
        <w:rPr>
          <w:rFonts w:hint="eastAsia" w:ascii="仿宋" w:hAnsi="仿宋" w:eastAsia="仿宋_GB2312"/>
          <w:color w:val="000000"/>
          <w:sz w:val="32"/>
          <w:szCs w:val="32"/>
          <w:highlight w:val="none"/>
          <w:lang w:val="en-US" w:eastAsia="zh-CN"/>
        </w:rPr>
        <w:t>11.07</w:t>
      </w:r>
      <w:r>
        <w:rPr>
          <w:rFonts w:hint="eastAsia" w:ascii="仿宋" w:hAnsi="仿宋" w:eastAsia="仿宋_GB2312"/>
          <w:color w:val="000000"/>
          <w:sz w:val="32"/>
          <w:szCs w:val="32"/>
          <w:highlight w:val="none"/>
        </w:rPr>
        <w:t>万元，降低</w:t>
      </w:r>
      <w:r>
        <w:rPr>
          <w:rFonts w:hint="eastAsia" w:ascii="仿宋" w:hAnsi="仿宋" w:eastAsia="仿宋_GB2312"/>
          <w:color w:val="000000"/>
          <w:sz w:val="32"/>
          <w:szCs w:val="32"/>
          <w:highlight w:val="none"/>
          <w:lang w:val="en-US" w:eastAsia="zh-CN"/>
        </w:rPr>
        <w:t>3</w:t>
      </w:r>
      <w:r>
        <w:rPr>
          <w:rFonts w:hint="eastAsia" w:ascii="仿宋" w:hAnsi="仿宋" w:eastAsia="仿宋_GB2312"/>
          <w:color w:val="000000"/>
          <w:sz w:val="32"/>
          <w:szCs w:val="32"/>
          <w:highlight w:val="none"/>
        </w:rPr>
        <w:t>%</w:t>
      </w:r>
      <w:r>
        <w:rPr>
          <w:rFonts w:hint="eastAsia" w:ascii="仿宋" w:hAnsi="仿宋" w:eastAsia="仿宋_GB2312"/>
          <w:sz w:val="32"/>
          <w:szCs w:val="32"/>
        </w:rPr>
        <w:t>。具体安排情况如下：</w:t>
      </w:r>
    </w:p>
    <w:p>
      <w:pPr>
        <w:keepNext w:val="0"/>
        <w:keepLines w:val="0"/>
        <w:pageBreakBefore w:val="0"/>
        <w:widowControl/>
        <w:numPr>
          <w:ilvl w:val="0"/>
          <w:numId w:val="0"/>
        </w:numPr>
        <w:kinsoku/>
        <w:wordWrap/>
        <w:overflowPunct/>
        <w:topLinePunct w:val="0"/>
        <w:autoSpaceDE/>
        <w:autoSpaceDN/>
        <w:bidi w:val="0"/>
        <w:adjustRightInd w:val="0"/>
        <w:snapToGrid w:val="0"/>
        <w:spacing w:after="0" w:line="312" w:lineRule="auto"/>
        <w:ind w:firstLine="640" w:firstLineChars="200"/>
        <w:jc w:val="both"/>
        <w:textAlignment w:val="auto"/>
        <w:rPr>
          <w:rFonts w:hint="default" w:ascii="仿宋" w:hAnsi="仿宋" w:eastAsia="仿宋_GB2312"/>
          <w:sz w:val="32"/>
          <w:szCs w:val="32"/>
          <w:lang w:val="en-US" w:eastAsia="zh-CN"/>
        </w:rPr>
      </w:pPr>
      <w:r>
        <w:rPr>
          <w:rFonts w:ascii="仿宋" w:hAnsi="仿宋" w:eastAsia="仿宋_GB2312" w:cs="Times New Roman"/>
          <w:sz w:val="32"/>
          <w:szCs w:val="32"/>
          <w:lang w:val="en-US" w:eastAsia="zh-CN" w:bidi="ar-SA"/>
        </w:rPr>
        <w:t>一、</w:t>
      </w:r>
      <w:r>
        <w:rPr>
          <w:rFonts w:hint="eastAsia" w:ascii="仿宋" w:hAnsi="仿宋" w:eastAsia="仿宋_GB2312"/>
          <w:sz w:val="32"/>
          <w:szCs w:val="32"/>
        </w:rPr>
        <w:t>公务用车购置及运行维护经费。安排</w:t>
      </w:r>
      <w:r>
        <w:rPr>
          <w:rFonts w:hint="eastAsia" w:ascii="仿宋" w:hAnsi="仿宋" w:eastAsia="仿宋_GB2312"/>
          <w:sz w:val="32"/>
          <w:szCs w:val="32"/>
          <w:lang w:val="en-US" w:eastAsia="zh-CN"/>
        </w:rPr>
        <w:t>338.79</w:t>
      </w:r>
      <w:r>
        <w:rPr>
          <w:rFonts w:hint="eastAsia" w:ascii="仿宋" w:hAnsi="仿宋" w:eastAsia="仿宋_GB2312"/>
          <w:sz w:val="32"/>
          <w:szCs w:val="32"/>
        </w:rPr>
        <w:t>万元，</w:t>
      </w:r>
      <w:r>
        <w:rPr>
          <w:rFonts w:hint="eastAsia" w:ascii="仿宋" w:hAnsi="仿宋" w:eastAsia="仿宋_GB2312"/>
          <w:sz w:val="32"/>
          <w:szCs w:val="32"/>
          <w:lang w:eastAsia="zh-CN"/>
        </w:rPr>
        <w:t>较</w:t>
      </w:r>
      <w:r>
        <w:rPr>
          <w:rFonts w:hint="eastAsia" w:ascii="仿宋" w:hAnsi="仿宋" w:eastAsia="仿宋_GB2312"/>
          <w:sz w:val="32"/>
          <w:szCs w:val="32"/>
        </w:rPr>
        <w:t>上年</w:t>
      </w:r>
      <w:r>
        <w:rPr>
          <w:rFonts w:hint="eastAsia" w:ascii="仿宋" w:hAnsi="仿宋" w:eastAsia="仿宋_GB2312"/>
          <w:color w:val="000000"/>
          <w:sz w:val="32"/>
          <w:szCs w:val="32"/>
          <w:highlight w:val="none"/>
        </w:rPr>
        <w:t>减少</w:t>
      </w:r>
      <w:r>
        <w:rPr>
          <w:rFonts w:hint="eastAsia" w:ascii="仿宋" w:hAnsi="仿宋" w:eastAsia="仿宋_GB2312"/>
          <w:color w:val="000000"/>
          <w:sz w:val="32"/>
          <w:szCs w:val="32"/>
          <w:highlight w:val="none"/>
          <w:lang w:val="en-US" w:eastAsia="zh-CN"/>
        </w:rPr>
        <w:t>10.61</w:t>
      </w:r>
      <w:r>
        <w:rPr>
          <w:rFonts w:hint="eastAsia" w:ascii="仿宋" w:hAnsi="仿宋" w:eastAsia="仿宋_GB2312"/>
          <w:color w:val="000000"/>
          <w:sz w:val="32"/>
          <w:szCs w:val="32"/>
          <w:highlight w:val="none"/>
        </w:rPr>
        <w:t>万元</w:t>
      </w:r>
      <w:r>
        <w:rPr>
          <w:rFonts w:hint="eastAsia" w:ascii="仿宋" w:hAnsi="仿宋" w:eastAsia="仿宋_GB2312"/>
          <w:color w:val="000000"/>
          <w:sz w:val="32"/>
          <w:szCs w:val="32"/>
          <w:highlight w:val="none"/>
          <w:lang w:eastAsia="zh-CN"/>
        </w:rPr>
        <w:t>，</w:t>
      </w:r>
      <w:r>
        <w:rPr>
          <w:rFonts w:hint="eastAsia" w:ascii="仿宋" w:hAnsi="仿宋" w:eastAsia="仿宋_GB2312"/>
          <w:color w:val="000000"/>
          <w:sz w:val="32"/>
          <w:szCs w:val="32"/>
          <w:highlight w:val="none"/>
          <w:lang w:val="en-US" w:eastAsia="zh-CN"/>
        </w:rPr>
        <w:t>主要原因是严格</w:t>
      </w:r>
      <w:r>
        <w:rPr>
          <w:rFonts w:ascii="仿宋_GB2312" w:hAnsi="宋体" w:eastAsia="仿宋_GB2312" w:cs="仿宋_GB2312"/>
          <w:color w:val="000000"/>
          <w:sz w:val="32"/>
          <w:szCs w:val="32"/>
        </w:rPr>
        <w:t>贯彻落实中央八项规定</w:t>
      </w:r>
      <w:r>
        <w:rPr>
          <w:rFonts w:hint="eastAsia" w:ascii="仿宋_GB2312" w:hAnsi="宋体" w:eastAsia="仿宋_GB2312" w:cs="仿宋_GB2312"/>
          <w:color w:val="000000"/>
          <w:sz w:val="32"/>
          <w:szCs w:val="32"/>
          <w:lang w:eastAsia="zh-CN"/>
        </w:rPr>
        <w:t>，</w:t>
      </w:r>
      <w:r>
        <w:rPr>
          <w:rFonts w:hint="eastAsia" w:ascii="仿宋_GB2312" w:hAnsi="宋体" w:eastAsia="仿宋_GB2312" w:cs="仿宋_GB2312"/>
          <w:color w:val="000000"/>
          <w:sz w:val="32"/>
          <w:szCs w:val="32"/>
        </w:rPr>
        <w:t>厉行节约，</w:t>
      </w:r>
      <w:r>
        <w:rPr>
          <w:rFonts w:hint="eastAsia" w:ascii="仿宋_GB2312" w:hAnsi="宋体" w:eastAsia="仿宋_GB2312" w:cs="仿宋_GB2312"/>
          <w:color w:val="000000"/>
          <w:sz w:val="32"/>
          <w:szCs w:val="32"/>
          <w:lang w:val="en-US" w:eastAsia="zh-CN"/>
        </w:rPr>
        <w:t>预算部门公务用车更新采购数量减少</w:t>
      </w:r>
      <w:r>
        <w:rPr>
          <w:rFonts w:hint="eastAsia" w:ascii="仿宋_GB2312" w:hAnsi="宋体" w:eastAsia="仿宋_GB2312" w:cs="仿宋_GB2312"/>
          <w:color w:val="000000"/>
          <w:sz w:val="32"/>
          <w:szCs w:val="32"/>
        </w:rPr>
        <w:t>。</w:t>
      </w:r>
    </w:p>
    <w:p>
      <w:pPr>
        <w:keepNext w:val="0"/>
        <w:keepLines w:val="0"/>
        <w:pageBreakBefore w:val="0"/>
        <w:widowControl/>
        <w:numPr>
          <w:ilvl w:val="0"/>
          <w:numId w:val="0"/>
        </w:numPr>
        <w:kinsoku/>
        <w:wordWrap/>
        <w:overflowPunct/>
        <w:topLinePunct w:val="0"/>
        <w:autoSpaceDE/>
        <w:autoSpaceDN/>
        <w:bidi w:val="0"/>
        <w:adjustRightInd w:val="0"/>
        <w:snapToGrid w:val="0"/>
        <w:spacing w:after="0" w:line="312" w:lineRule="auto"/>
        <w:ind w:firstLine="640" w:firstLineChars="200"/>
        <w:jc w:val="both"/>
        <w:textAlignment w:val="auto"/>
        <w:rPr>
          <w:rFonts w:hint="default" w:ascii="仿宋" w:hAnsi="仿宋" w:eastAsia="仿宋_GB2312"/>
          <w:sz w:val="32"/>
          <w:szCs w:val="32"/>
          <w:lang w:val="en-US" w:eastAsia="zh-CN"/>
        </w:rPr>
      </w:pPr>
      <w:r>
        <w:rPr>
          <w:rFonts w:hint="eastAsia" w:ascii="仿宋" w:hAnsi="仿宋" w:eastAsia="仿宋_GB2312"/>
          <w:sz w:val="32"/>
          <w:szCs w:val="32"/>
          <w:lang w:val="en-US" w:eastAsia="zh-CN"/>
        </w:rPr>
        <w:t>1.</w:t>
      </w:r>
      <w:r>
        <w:rPr>
          <w:rFonts w:hint="eastAsia" w:ascii="仿宋" w:hAnsi="仿宋" w:eastAsia="仿宋_GB2312"/>
          <w:sz w:val="32"/>
          <w:szCs w:val="32"/>
        </w:rPr>
        <w:t>公务用车购置</w:t>
      </w:r>
      <w:r>
        <w:rPr>
          <w:rFonts w:hint="eastAsia" w:ascii="仿宋" w:hAnsi="仿宋" w:eastAsia="仿宋_GB2312"/>
          <w:sz w:val="32"/>
          <w:szCs w:val="32"/>
          <w:lang w:val="en-US" w:eastAsia="zh-CN"/>
        </w:rPr>
        <w:t>42</w:t>
      </w:r>
      <w:r>
        <w:rPr>
          <w:rFonts w:hint="eastAsia" w:ascii="仿宋" w:hAnsi="仿宋" w:eastAsia="仿宋_GB2312"/>
          <w:sz w:val="32"/>
          <w:szCs w:val="32"/>
        </w:rPr>
        <w:t>万元，</w:t>
      </w:r>
      <w:r>
        <w:rPr>
          <w:rFonts w:hint="eastAsia" w:ascii="仿宋" w:hAnsi="仿宋" w:eastAsia="仿宋_GB2312"/>
          <w:sz w:val="32"/>
          <w:szCs w:val="32"/>
          <w:lang w:eastAsia="zh-CN"/>
        </w:rPr>
        <w:t>较</w:t>
      </w:r>
      <w:r>
        <w:rPr>
          <w:rFonts w:hint="eastAsia" w:ascii="仿宋" w:hAnsi="仿宋" w:eastAsia="仿宋_GB2312"/>
          <w:sz w:val="32"/>
          <w:szCs w:val="32"/>
        </w:rPr>
        <w:t>上年</w:t>
      </w:r>
      <w:r>
        <w:rPr>
          <w:rFonts w:hint="eastAsia" w:ascii="仿宋" w:hAnsi="仿宋" w:eastAsia="仿宋_GB2312"/>
          <w:color w:val="000000"/>
          <w:sz w:val="32"/>
          <w:szCs w:val="32"/>
          <w:highlight w:val="none"/>
        </w:rPr>
        <w:t>减少</w:t>
      </w:r>
      <w:r>
        <w:rPr>
          <w:rFonts w:hint="eastAsia" w:ascii="仿宋" w:hAnsi="仿宋" w:eastAsia="仿宋_GB2312"/>
          <w:color w:val="000000"/>
          <w:sz w:val="32"/>
          <w:szCs w:val="32"/>
          <w:highlight w:val="none"/>
          <w:lang w:val="en-US" w:eastAsia="zh-CN"/>
        </w:rPr>
        <w:t>1.32</w:t>
      </w:r>
      <w:r>
        <w:rPr>
          <w:rFonts w:hint="eastAsia" w:ascii="仿宋" w:hAnsi="仿宋" w:eastAsia="仿宋_GB2312"/>
          <w:color w:val="000000"/>
          <w:sz w:val="32"/>
          <w:szCs w:val="32"/>
          <w:highlight w:val="none"/>
        </w:rPr>
        <w:t>万元</w:t>
      </w:r>
      <w:r>
        <w:rPr>
          <w:rFonts w:hint="eastAsia" w:ascii="仿宋" w:hAnsi="仿宋" w:eastAsia="仿宋_GB2312"/>
          <w:sz w:val="32"/>
          <w:szCs w:val="32"/>
          <w:lang w:val="en-US" w:eastAsia="zh-CN"/>
        </w:rPr>
        <w:t>，</w:t>
      </w:r>
      <w:r>
        <w:rPr>
          <w:rFonts w:hint="eastAsia" w:ascii="仿宋" w:hAnsi="仿宋" w:eastAsia="仿宋_GB2312"/>
          <w:color w:val="000000"/>
          <w:sz w:val="32"/>
          <w:szCs w:val="32"/>
          <w:highlight w:val="none"/>
          <w:lang w:val="en-US" w:eastAsia="zh-CN"/>
        </w:rPr>
        <w:t>主要原因是严格</w:t>
      </w:r>
      <w:r>
        <w:rPr>
          <w:rFonts w:ascii="仿宋_GB2312" w:hAnsi="宋体" w:eastAsia="仿宋_GB2312" w:cs="仿宋_GB2312"/>
          <w:color w:val="000000"/>
          <w:sz w:val="32"/>
          <w:szCs w:val="32"/>
        </w:rPr>
        <w:t>贯彻落实中央八项规定</w:t>
      </w:r>
      <w:r>
        <w:rPr>
          <w:rFonts w:hint="eastAsia" w:ascii="仿宋_GB2312" w:hAnsi="宋体" w:eastAsia="仿宋_GB2312" w:cs="仿宋_GB2312"/>
          <w:color w:val="000000"/>
          <w:sz w:val="32"/>
          <w:szCs w:val="32"/>
          <w:lang w:eastAsia="zh-CN"/>
        </w:rPr>
        <w:t>，</w:t>
      </w:r>
      <w:r>
        <w:rPr>
          <w:rFonts w:hint="eastAsia" w:ascii="仿宋_GB2312" w:hAnsi="宋体" w:eastAsia="仿宋_GB2312" w:cs="仿宋_GB2312"/>
          <w:color w:val="000000"/>
          <w:sz w:val="32"/>
          <w:szCs w:val="32"/>
        </w:rPr>
        <w:t>厉行节约，</w:t>
      </w:r>
      <w:r>
        <w:rPr>
          <w:rFonts w:hint="eastAsia" w:ascii="仿宋_GB2312" w:hAnsi="宋体" w:eastAsia="仿宋_GB2312" w:cs="仿宋_GB2312"/>
          <w:color w:val="000000"/>
          <w:sz w:val="32"/>
          <w:szCs w:val="32"/>
          <w:lang w:val="en-US" w:eastAsia="zh-CN"/>
        </w:rPr>
        <w:t>预算部门公务用车更新采购数量减少</w:t>
      </w:r>
      <w:r>
        <w:rPr>
          <w:rFonts w:hint="eastAsia" w:ascii="仿宋_GB2312" w:hAnsi="宋体" w:eastAsia="仿宋_GB2312" w:cs="仿宋_GB2312"/>
          <w:color w:val="000000"/>
          <w:sz w:val="32"/>
          <w:szCs w:val="32"/>
        </w:rPr>
        <w:t>。</w:t>
      </w:r>
    </w:p>
    <w:p>
      <w:pPr>
        <w:keepNext w:val="0"/>
        <w:keepLines w:val="0"/>
        <w:pageBreakBefore w:val="0"/>
        <w:widowControl/>
        <w:numPr>
          <w:ilvl w:val="0"/>
          <w:numId w:val="0"/>
        </w:numPr>
        <w:kinsoku/>
        <w:wordWrap/>
        <w:overflowPunct/>
        <w:topLinePunct w:val="0"/>
        <w:autoSpaceDE/>
        <w:autoSpaceDN/>
        <w:bidi w:val="0"/>
        <w:adjustRightInd w:val="0"/>
        <w:snapToGrid w:val="0"/>
        <w:spacing w:after="0" w:line="312" w:lineRule="auto"/>
        <w:ind w:firstLine="640" w:firstLineChars="200"/>
        <w:jc w:val="both"/>
        <w:textAlignment w:val="auto"/>
        <w:rPr>
          <w:rFonts w:ascii="仿宋" w:hAnsi="仿宋" w:eastAsia="仿宋_GB2312"/>
          <w:sz w:val="32"/>
          <w:szCs w:val="32"/>
        </w:rPr>
      </w:pPr>
      <w:r>
        <w:rPr>
          <w:rFonts w:hint="eastAsia" w:ascii="仿宋" w:hAnsi="仿宋" w:eastAsia="仿宋_GB2312"/>
          <w:sz w:val="32"/>
          <w:szCs w:val="32"/>
        </w:rPr>
        <w:t>2.公车运行维护费</w:t>
      </w:r>
      <w:r>
        <w:rPr>
          <w:rFonts w:hint="eastAsia" w:ascii="仿宋" w:hAnsi="仿宋" w:eastAsia="仿宋_GB2312"/>
          <w:sz w:val="32"/>
          <w:szCs w:val="32"/>
          <w:lang w:val="en-US" w:eastAsia="zh-CN"/>
        </w:rPr>
        <w:t>296.79</w:t>
      </w:r>
      <w:r>
        <w:rPr>
          <w:rFonts w:hint="eastAsia" w:ascii="仿宋" w:hAnsi="仿宋" w:eastAsia="仿宋_GB2312"/>
          <w:sz w:val="32"/>
          <w:szCs w:val="32"/>
        </w:rPr>
        <w:t>万元，</w:t>
      </w:r>
      <w:r>
        <w:rPr>
          <w:rFonts w:hint="eastAsia" w:ascii="仿宋" w:hAnsi="仿宋" w:eastAsia="仿宋_GB2312"/>
          <w:sz w:val="32"/>
          <w:szCs w:val="32"/>
          <w:lang w:eastAsia="zh-CN"/>
        </w:rPr>
        <w:t>较</w:t>
      </w:r>
      <w:r>
        <w:rPr>
          <w:rFonts w:hint="eastAsia" w:ascii="仿宋" w:hAnsi="仿宋" w:eastAsia="仿宋_GB2312"/>
          <w:sz w:val="32"/>
          <w:szCs w:val="32"/>
        </w:rPr>
        <w:t>上年</w:t>
      </w:r>
      <w:r>
        <w:rPr>
          <w:rFonts w:hint="eastAsia" w:ascii="仿宋" w:hAnsi="仿宋" w:eastAsia="仿宋_GB2312"/>
          <w:color w:val="000000"/>
          <w:sz w:val="32"/>
          <w:szCs w:val="32"/>
          <w:highlight w:val="none"/>
        </w:rPr>
        <w:t>减少</w:t>
      </w:r>
      <w:r>
        <w:rPr>
          <w:rFonts w:hint="eastAsia" w:ascii="仿宋" w:hAnsi="仿宋" w:eastAsia="仿宋_GB2312"/>
          <w:color w:val="000000"/>
          <w:sz w:val="32"/>
          <w:szCs w:val="32"/>
          <w:highlight w:val="none"/>
          <w:lang w:val="en-US" w:eastAsia="zh-CN"/>
        </w:rPr>
        <w:t>9.29</w:t>
      </w:r>
      <w:r>
        <w:rPr>
          <w:rFonts w:hint="eastAsia" w:ascii="仿宋" w:hAnsi="仿宋" w:eastAsia="仿宋_GB2312"/>
          <w:color w:val="000000"/>
          <w:sz w:val="32"/>
          <w:szCs w:val="32"/>
          <w:highlight w:val="none"/>
        </w:rPr>
        <w:t>万元</w:t>
      </w:r>
      <w:r>
        <w:rPr>
          <w:rFonts w:hint="eastAsia" w:ascii="仿宋" w:hAnsi="仿宋" w:eastAsia="仿宋_GB2312"/>
          <w:sz w:val="32"/>
          <w:szCs w:val="32"/>
        </w:rPr>
        <w:t xml:space="preserve">。 </w:t>
      </w:r>
    </w:p>
    <w:p>
      <w:pPr>
        <w:keepNext w:val="0"/>
        <w:keepLines w:val="0"/>
        <w:pageBreakBefore w:val="0"/>
        <w:widowControl/>
        <w:kinsoku/>
        <w:wordWrap/>
        <w:overflowPunct/>
        <w:topLinePunct w:val="0"/>
        <w:autoSpaceDE/>
        <w:autoSpaceDN/>
        <w:bidi w:val="0"/>
        <w:adjustRightInd w:val="0"/>
        <w:snapToGrid w:val="0"/>
        <w:spacing w:after="0" w:line="312" w:lineRule="auto"/>
        <w:ind w:firstLine="640" w:firstLineChars="200"/>
        <w:jc w:val="both"/>
        <w:textAlignment w:val="auto"/>
        <w:rPr>
          <w:rFonts w:ascii="仿宋" w:hAnsi="仿宋" w:eastAsia="仿宋_GB2312"/>
          <w:sz w:val="32"/>
          <w:szCs w:val="32"/>
        </w:rPr>
      </w:pPr>
      <w:r>
        <w:rPr>
          <w:rFonts w:hint="eastAsia" w:ascii="仿宋" w:hAnsi="仿宋" w:eastAsia="仿宋_GB2312"/>
          <w:sz w:val="32"/>
          <w:szCs w:val="32"/>
        </w:rPr>
        <w:t>二、公务接待费。安排</w:t>
      </w:r>
      <w:r>
        <w:rPr>
          <w:rFonts w:hint="eastAsia" w:ascii="仿宋" w:hAnsi="仿宋" w:eastAsia="仿宋_GB2312"/>
          <w:sz w:val="32"/>
          <w:szCs w:val="32"/>
          <w:lang w:val="en-US" w:eastAsia="zh-CN"/>
        </w:rPr>
        <w:t>3.44</w:t>
      </w:r>
      <w:r>
        <w:rPr>
          <w:rFonts w:hint="eastAsia" w:ascii="仿宋" w:hAnsi="仿宋" w:eastAsia="仿宋_GB2312"/>
          <w:sz w:val="32"/>
          <w:szCs w:val="32"/>
        </w:rPr>
        <w:t>万元，</w:t>
      </w:r>
      <w:r>
        <w:rPr>
          <w:rFonts w:hint="eastAsia" w:ascii="仿宋" w:hAnsi="仿宋" w:eastAsia="仿宋_GB2312"/>
          <w:sz w:val="32"/>
          <w:szCs w:val="32"/>
          <w:lang w:eastAsia="zh-CN"/>
        </w:rPr>
        <w:t>较</w:t>
      </w:r>
      <w:r>
        <w:rPr>
          <w:rFonts w:hint="eastAsia" w:ascii="仿宋" w:hAnsi="仿宋" w:eastAsia="仿宋_GB2312"/>
          <w:sz w:val="32"/>
          <w:szCs w:val="32"/>
        </w:rPr>
        <w:t>上年</w:t>
      </w:r>
      <w:r>
        <w:rPr>
          <w:rFonts w:hint="eastAsia" w:ascii="仿宋" w:hAnsi="仿宋" w:eastAsia="仿宋_GB2312"/>
          <w:color w:val="000000"/>
          <w:sz w:val="32"/>
          <w:szCs w:val="32"/>
          <w:highlight w:val="none"/>
        </w:rPr>
        <w:t>减少</w:t>
      </w:r>
      <w:r>
        <w:rPr>
          <w:rFonts w:hint="eastAsia" w:ascii="仿宋" w:hAnsi="仿宋" w:eastAsia="仿宋_GB2312"/>
          <w:color w:val="000000"/>
          <w:sz w:val="32"/>
          <w:szCs w:val="32"/>
          <w:highlight w:val="none"/>
          <w:lang w:val="en-US" w:eastAsia="zh-CN"/>
        </w:rPr>
        <w:t>0.16</w:t>
      </w:r>
      <w:r>
        <w:rPr>
          <w:rFonts w:hint="eastAsia" w:ascii="仿宋" w:hAnsi="仿宋" w:eastAsia="仿宋_GB2312"/>
          <w:color w:val="000000"/>
          <w:sz w:val="32"/>
          <w:szCs w:val="32"/>
          <w:highlight w:val="none"/>
        </w:rPr>
        <w:t>万元</w:t>
      </w:r>
      <w:r>
        <w:rPr>
          <w:rFonts w:hint="eastAsia" w:ascii="仿宋" w:hAnsi="仿宋" w:eastAsia="仿宋_GB2312"/>
          <w:sz w:val="32"/>
          <w:szCs w:val="32"/>
        </w:rPr>
        <w:t>。</w:t>
      </w:r>
    </w:p>
    <w:p>
      <w:pPr>
        <w:keepNext w:val="0"/>
        <w:keepLines w:val="0"/>
        <w:pageBreakBefore w:val="0"/>
        <w:widowControl/>
        <w:kinsoku/>
        <w:wordWrap/>
        <w:overflowPunct/>
        <w:topLinePunct w:val="0"/>
        <w:autoSpaceDE/>
        <w:autoSpaceDN/>
        <w:bidi w:val="0"/>
        <w:adjustRightInd w:val="0"/>
        <w:snapToGrid w:val="0"/>
        <w:spacing w:after="0" w:line="312" w:lineRule="auto"/>
        <w:ind w:firstLine="640" w:firstLineChars="200"/>
        <w:jc w:val="both"/>
        <w:textAlignment w:val="auto"/>
        <w:rPr>
          <w:rFonts w:ascii="仿宋" w:hAnsi="仿宋" w:eastAsia="仿宋_GB2312"/>
          <w:sz w:val="32"/>
          <w:szCs w:val="32"/>
        </w:rPr>
      </w:pPr>
      <w:r>
        <w:rPr>
          <w:rFonts w:hint="eastAsia" w:ascii="仿宋" w:hAnsi="仿宋" w:eastAsia="仿宋_GB2312"/>
          <w:sz w:val="32"/>
          <w:szCs w:val="32"/>
        </w:rPr>
        <w:t>三、因公出国（境）费。安排</w:t>
      </w:r>
      <w:r>
        <w:rPr>
          <w:rFonts w:hint="eastAsia" w:ascii="仿宋" w:hAnsi="仿宋" w:eastAsia="仿宋_GB2312"/>
          <w:sz w:val="32"/>
          <w:szCs w:val="32"/>
          <w:lang w:val="en-US" w:eastAsia="zh-CN"/>
        </w:rPr>
        <w:t>9.7</w:t>
      </w:r>
      <w:r>
        <w:rPr>
          <w:rFonts w:hint="eastAsia" w:ascii="仿宋" w:hAnsi="仿宋" w:eastAsia="仿宋_GB2312"/>
          <w:sz w:val="32"/>
          <w:szCs w:val="32"/>
        </w:rPr>
        <w:t>万元，</w:t>
      </w:r>
      <w:r>
        <w:rPr>
          <w:rFonts w:hint="eastAsia" w:ascii="仿宋" w:hAnsi="仿宋" w:eastAsia="仿宋_GB2312"/>
          <w:sz w:val="32"/>
          <w:szCs w:val="32"/>
          <w:lang w:eastAsia="zh-CN"/>
        </w:rPr>
        <w:t>较</w:t>
      </w:r>
      <w:r>
        <w:rPr>
          <w:rFonts w:hint="eastAsia" w:ascii="仿宋" w:hAnsi="仿宋" w:eastAsia="仿宋_GB2312"/>
          <w:sz w:val="32"/>
          <w:szCs w:val="32"/>
        </w:rPr>
        <w:t>上年</w:t>
      </w:r>
      <w:r>
        <w:rPr>
          <w:rFonts w:hint="eastAsia" w:ascii="仿宋" w:hAnsi="仿宋" w:eastAsia="仿宋_GB2312"/>
          <w:color w:val="000000"/>
          <w:sz w:val="32"/>
          <w:szCs w:val="32"/>
          <w:highlight w:val="none"/>
        </w:rPr>
        <w:t>减少</w:t>
      </w:r>
      <w:r>
        <w:rPr>
          <w:rFonts w:hint="eastAsia" w:ascii="仿宋" w:hAnsi="仿宋" w:eastAsia="仿宋_GB2312"/>
          <w:color w:val="000000"/>
          <w:sz w:val="32"/>
          <w:szCs w:val="32"/>
          <w:highlight w:val="none"/>
          <w:lang w:val="en-US" w:eastAsia="zh-CN"/>
        </w:rPr>
        <w:t>0.3</w:t>
      </w:r>
      <w:r>
        <w:rPr>
          <w:rFonts w:hint="eastAsia" w:ascii="仿宋" w:hAnsi="仿宋" w:eastAsia="仿宋_GB2312"/>
          <w:color w:val="000000"/>
          <w:sz w:val="32"/>
          <w:szCs w:val="32"/>
          <w:highlight w:val="none"/>
        </w:rPr>
        <w:t>万元</w:t>
      </w:r>
      <w:r>
        <w:rPr>
          <w:rFonts w:hint="eastAsia" w:ascii="仿宋" w:hAnsi="仿宋" w:eastAsia="仿宋_GB2312"/>
          <w:sz w:val="32"/>
          <w:szCs w:val="32"/>
          <w:lang w:val="en-US" w:eastAsia="zh-CN"/>
        </w:rPr>
        <w:t>，</w:t>
      </w:r>
      <w:r>
        <w:rPr>
          <w:rFonts w:hint="eastAsia" w:ascii="仿宋" w:hAnsi="仿宋" w:eastAsia="仿宋_GB2312"/>
          <w:color w:val="000000"/>
          <w:sz w:val="32"/>
          <w:szCs w:val="32"/>
          <w:highlight w:val="none"/>
          <w:lang w:val="en-US" w:eastAsia="zh-CN"/>
        </w:rPr>
        <w:t>主要原因是严格</w:t>
      </w:r>
      <w:r>
        <w:rPr>
          <w:rFonts w:ascii="仿宋_GB2312" w:hAnsi="宋体" w:eastAsia="仿宋_GB2312" w:cs="仿宋_GB2312"/>
          <w:color w:val="000000"/>
          <w:sz w:val="32"/>
          <w:szCs w:val="32"/>
        </w:rPr>
        <w:t>贯彻落实中央八项规定，</w:t>
      </w:r>
      <w:r>
        <w:rPr>
          <w:rFonts w:hint="eastAsia" w:ascii="仿宋_GB2312" w:hAnsi="宋体" w:eastAsia="仿宋_GB2312" w:cs="仿宋_GB2312"/>
          <w:color w:val="000000"/>
          <w:sz w:val="32"/>
          <w:szCs w:val="32"/>
        </w:rPr>
        <w:t>厉行节约</w:t>
      </w:r>
      <w:r>
        <w:rPr>
          <w:rFonts w:ascii="仿宋_GB2312" w:hAnsi="宋体" w:eastAsia="仿宋_GB2312" w:cs="仿宋_GB2312"/>
          <w:color w:val="000000"/>
          <w:sz w:val="32"/>
          <w:szCs w:val="32"/>
        </w:rPr>
        <w:t>，</w:t>
      </w:r>
      <w:r>
        <w:rPr>
          <w:rFonts w:hint="eastAsia" w:ascii="仿宋_GB2312" w:hAnsi="宋体" w:eastAsia="仿宋_GB2312" w:cs="仿宋_GB2312"/>
          <w:color w:val="000000"/>
          <w:sz w:val="32"/>
          <w:szCs w:val="32"/>
          <w:lang w:val="en-US" w:eastAsia="zh-CN"/>
        </w:rPr>
        <w:t>严格</w:t>
      </w:r>
      <w:r>
        <w:rPr>
          <w:rFonts w:hint="eastAsia" w:ascii="仿宋_GB2312" w:hAnsi="宋体" w:eastAsia="仿宋_GB2312" w:cs="仿宋_GB2312"/>
          <w:color w:val="000000"/>
          <w:sz w:val="32"/>
          <w:szCs w:val="32"/>
        </w:rPr>
        <w:t>控制</w:t>
      </w:r>
      <w:r>
        <w:rPr>
          <w:rFonts w:hint="eastAsia" w:ascii="仿宋" w:hAnsi="仿宋" w:eastAsia="仿宋_GB2312"/>
          <w:sz w:val="32"/>
          <w:szCs w:val="32"/>
        </w:rPr>
        <w:t>因公出国（境）</w:t>
      </w:r>
      <w:r>
        <w:rPr>
          <w:rFonts w:hint="eastAsia" w:ascii="仿宋" w:hAnsi="仿宋" w:eastAsia="仿宋_GB2312"/>
          <w:sz w:val="32"/>
          <w:szCs w:val="32"/>
          <w:lang w:val="en-US" w:eastAsia="zh-CN"/>
        </w:rPr>
        <w:t>费用支出</w:t>
      </w:r>
      <w:r>
        <w:rPr>
          <w:rFonts w:hint="eastAsia" w:ascii="仿宋" w:hAnsi="仿宋" w:eastAsia="仿宋_GB2312"/>
          <w:sz w:val="32"/>
          <w:szCs w:val="32"/>
        </w:rPr>
        <w:t>。</w:t>
      </w: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p>
    <w:p>
      <w:pPr>
        <w:pageBreakBefore w:val="0"/>
        <w:kinsoku/>
        <w:wordWrap/>
        <w:topLinePunct w:val="0"/>
        <w:bidi w:val="0"/>
        <w:spacing w:line="58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深泽县</w:t>
      </w:r>
      <w:r>
        <w:rPr>
          <w:rFonts w:hint="eastAsia" w:ascii="方正小标宋_GBK" w:hAnsi="方正小标宋_GBK" w:eastAsia="方正小标宋_GBK" w:cs="方正小标宋_GBK"/>
          <w:sz w:val="44"/>
          <w:szCs w:val="44"/>
          <w:lang w:eastAsia="zh-CN"/>
        </w:rPr>
        <w:t>202</w:t>
      </w:r>
      <w:r>
        <w:rPr>
          <w:rFonts w:hint="eastAsia" w:ascii="方正小标宋_GBK" w:hAnsi="方正小标宋_GBK" w:eastAsia="方正小标宋_GBK" w:cs="方正小标宋_GBK"/>
          <w:sz w:val="44"/>
          <w:szCs w:val="44"/>
          <w:lang w:val="en-US" w:eastAsia="zh-CN"/>
        </w:rPr>
        <w:t>6</w:t>
      </w:r>
      <w:r>
        <w:rPr>
          <w:rFonts w:hint="eastAsia" w:ascii="方正小标宋_GBK" w:hAnsi="方正小标宋_GBK" w:eastAsia="方正小标宋_GBK" w:cs="方正小标宋_GBK"/>
          <w:sz w:val="44"/>
          <w:szCs w:val="44"/>
          <w:lang w:eastAsia="zh-CN"/>
        </w:rPr>
        <w:t>年</w:t>
      </w:r>
      <w:r>
        <w:rPr>
          <w:rFonts w:hint="eastAsia" w:ascii="方正小标宋_GBK" w:hAnsi="方正小标宋_GBK" w:eastAsia="方正小标宋_GBK" w:cs="方正小标宋_GBK"/>
          <w:sz w:val="44"/>
          <w:szCs w:val="44"/>
        </w:rPr>
        <w:t>政府预算举借债务情况说明</w:t>
      </w:r>
    </w:p>
    <w:p>
      <w:pPr>
        <w:pageBreakBefore w:val="0"/>
        <w:kinsoku/>
        <w:wordWrap/>
        <w:topLinePunct w:val="0"/>
        <w:bidi w:val="0"/>
        <w:spacing w:after="0" w:line="600" w:lineRule="exact"/>
        <w:ind w:firstLine="640" w:firstLineChars="200"/>
        <w:jc w:val="both"/>
        <w:rPr>
          <w:rFonts w:hint="eastAsia" w:ascii="仿宋" w:hAnsi="仿宋" w:eastAsia="仿宋_GB2312" w:cs="仿宋"/>
          <w:sz w:val="32"/>
          <w:szCs w:val="32"/>
        </w:rPr>
      </w:pP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按照</w:t>
      </w:r>
      <w:r>
        <w:rPr>
          <w:rFonts w:hint="eastAsia" w:ascii="仿宋" w:hAnsi="仿宋" w:eastAsia="仿宋_GB2312" w:cs="仿宋"/>
          <w:sz w:val="32"/>
          <w:szCs w:val="32"/>
          <w:lang w:eastAsia="zh-CN"/>
        </w:rPr>
        <w:t>《中华人民共和国预算法》</w:t>
      </w:r>
      <w:r>
        <w:rPr>
          <w:rFonts w:hint="eastAsia" w:ascii="仿宋" w:hAnsi="仿宋" w:eastAsia="仿宋_GB2312" w:cs="仿宋"/>
          <w:sz w:val="32"/>
          <w:szCs w:val="32"/>
        </w:rPr>
        <w:t>等相关规定要求，现将我县</w:t>
      </w:r>
      <w:r>
        <w:rPr>
          <w:rFonts w:hint="eastAsia" w:ascii="仿宋" w:hAnsi="仿宋" w:eastAsia="仿宋_GB2312" w:cs="仿宋"/>
          <w:sz w:val="32"/>
          <w:szCs w:val="32"/>
          <w:lang w:eastAsia="zh-CN"/>
        </w:rPr>
        <w:t>2025年</w:t>
      </w:r>
      <w:r>
        <w:rPr>
          <w:rFonts w:hint="eastAsia" w:ascii="仿宋" w:hAnsi="仿宋" w:eastAsia="仿宋_GB2312" w:cs="仿宋"/>
          <w:sz w:val="32"/>
          <w:szCs w:val="32"/>
        </w:rPr>
        <w:t>政府预算举借债务安排情况进行如下说明：</w:t>
      </w:r>
    </w:p>
    <w:p>
      <w:pPr>
        <w:pageBreakBefore w:val="0"/>
        <w:kinsoku/>
        <w:wordWrap/>
        <w:topLinePunct w:val="0"/>
        <w:bidi w:val="0"/>
        <w:spacing w:after="0" w:line="600" w:lineRule="exact"/>
        <w:ind w:firstLine="640" w:firstLineChars="200"/>
        <w:jc w:val="both"/>
        <w:rPr>
          <w:rFonts w:ascii="仿宋" w:hAnsi="仿宋" w:eastAsia="仿宋_GB2312"/>
          <w:color w:val="auto"/>
          <w:sz w:val="32"/>
          <w:szCs w:val="32"/>
        </w:rPr>
      </w:pPr>
      <w:r>
        <w:rPr>
          <w:rFonts w:hint="eastAsia" w:ascii="仿宋" w:hAnsi="仿宋" w:eastAsia="仿宋_GB2312" w:cs="仿宋"/>
          <w:sz w:val="32"/>
          <w:szCs w:val="32"/>
        </w:rPr>
        <w:t>我县不断加强政府性债务管理，规范地方政府债务举借行为，严格控制债务风险</w:t>
      </w:r>
      <w:r>
        <w:rPr>
          <w:rFonts w:hint="eastAsia" w:ascii="仿宋" w:hAnsi="仿宋" w:eastAsia="仿宋_GB2312" w:cs="仿宋"/>
          <w:sz w:val="32"/>
          <w:szCs w:val="32"/>
          <w:u w:val="none"/>
        </w:rPr>
        <w:t>，</w:t>
      </w:r>
      <w:r>
        <w:rPr>
          <w:rFonts w:hint="eastAsia" w:ascii="仿宋" w:hAnsi="仿宋" w:eastAsia="仿宋_GB2312" w:cs="仿宋"/>
          <w:color w:val="auto"/>
          <w:sz w:val="32"/>
          <w:szCs w:val="32"/>
          <w:u w:val="none"/>
          <w:lang w:val="en-US" w:eastAsia="zh-CN"/>
        </w:rPr>
        <w:t>2025</w:t>
      </w:r>
      <w:r>
        <w:rPr>
          <w:rFonts w:hint="eastAsia" w:ascii="仿宋" w:hAnsi="仿宋" w:eastAsia="仿宋_GB2312" w:cs="仿宋"/>
          <w:color w:val="auto"/>
          <w:sz w:val="32"/>
          <w:szCs w:val="32"/>
          <w:u w:val="none"/>
        </w:rPr>
        <w:t>年政府债务限额为</w:t>
      </w:r>
      <w:r>
        <w:rPr>
          <w:rFonts w:hint="eastAsia" w:ascii="仿宋" w:hAnsi="仿宋" w:eastAsia="仿宋_GB2312" w:cs="仿宋"/>
          <w:color w:val="auto"/>
          <w:sz w:val="32"/>
          <w:szCs w:val="32"/>
          <w:u w:val="none"/>
          <w:lang w:val="en-US" w:eastAsia="zh-CN"/>
        </w:rPr>
        <w:t>486824.09</w:t>
      </w:r>
      <w:r>
        <w:rPr>
          <w:rFonts w:hint="eastAsia" w:ascii="仿宋" w:hAnsi="仿宋" w:eastAsia="仿宋_GB2312" w:cs="仿宋"/>
          <w:color w:val="auto"/>
          <w:sz w:val="32"/>
          <w:szCs w:val="32"/>
          <w:u w:val="none"/>
        </w:rPr>
        <w:t>万元，政府债务余额为</w:t>
      </w:r>
      <w:r>
        <w:rPr>
          <w:rFonts w:hint="eastAsia" w:ascii="仿宋" w:hAnsi="仿宋" w:eastAsia="仿宋_GB2312" w:cs="仿宋"/>
          <w:color w:val="auto"/>
          <w:sz w:val="32"/>
          <w:szCs w:val="32"/>
          <w:u w:val="none"/>
          <w:lang w:val="en-US" w:eastAsia="zh-CN"/>
        </w:rPr>
        <w:t>484165</w:t>
      </w:r>
      <w:r>
        <w:rPr>
          <w:rFonts w:hint="eastAsia" w:ascii="仿宋" w:hAnsi="仿宋" w:eastAsia="仿宋_GB2312" w:cs="仿宋"/>
          <w:color w:val="auto"/>
          <w:sz w:val="32"/>
          <w:szCs w:val="32"/>
          <w:u w:val="none"/>
        </w:rPr>
        <w:t>万元，</w:t>
      </w:r>
      <w:r>
        <w:rPr>
          <w:rFonts w:hint="eastAsia" w:ascii="仿宋" w:hAnsi="仿宋" w:eastAsia="仿宋_GB2312" w:cs="仿宋"/>
          <w:color w:val="auto"/>
          <w:sz w:val="32"/>
          <w:szCs w:val="32"/>
          <w:u w:val="none"/>
          <w:lang w:eastAsia="zh-CN"/>
        </w:rPr>
        <w:t>当年</w:t>
      </w:r>
      <w:r>
        <w:rPr>
          <w:rFonts w:hint="eastAsia" w:ascii="仿宋" w:hAnsi="仿宋" w:eastAsia="仿宋_GB2312" w:cs="仿宋"/>
          <w:color w:val="auto"/>
          <w:sz w:val="32"/>
          <w:szCs w:val="32"/>
          <w:u w:val="none"/>
        </w:rPr>
        <w:t>限额使用比例</w:t>
      </w:r>
      <w:r>
        <w:rPr>
          <w:rFonts w:hint="eastAsia" w:ascii="仿宋" w:hAnsi="仿宋" w:eastAsia="仿宋_GB2312" w:cs="仿宋"/>
          <w:color w:val="auto"/>
          <w:sz w:val="32"/>
          <w:szCs w:val="32"/>
          <w:u w:val="none"/>
          <w:lang w:val="en-US" w:eastAsia="zh-CN"/>
        </w:rPr>
        <w:t>100</w:t>
      </w:r>
      <w:r>
        <w:rPr>
          <w:rFonts w:hint="eastAsia" w:ascii="仿宋" w:hAnsi="仿宋" w:eastAsia="仿宋_GB2312" w:cs="仿宋"/>
          <w:color w:val="auto"/>
          <w:sz w:val="32"/>
          <w:szCs w:val="32"/>
          <w:u w:val="none"/>
        </w:rPr>
        <w:t>%。其中政府一般债务限额</w:t>
      </w:r>
      <w:r>
        <w:rPr>
          <w:rFonts w:hint="eastAsia" w:ascii="仿宋" w:hAnsi="仿宋" w:eastAsia="仿宋_GB2312" w:cs="仿宋"/>
          <w:color w:val="auto"/>
          <w:sz w:val="32"/>
          <w:szCs w:val="32"/>
          <w:u w:val="none"/>
          <w:lang w:val="en-US" w:eastAsia="zh-CN"/>
        </w:rPr>
        <w:t>86024.09</w:t>
      </w:r>
      <w:r>
        <w:rPr>
          <w:rFonts w:hint="eastAsia" w:ascii="仿宋" w:hAnsi="仿宋" w:eastAsia="仿宋_GB2312" w:cs="仿宋"/>
          <w:color w:val="auto"/>
          <w:sz w:val="32"/>
          <w:szCs w:val="32"/>
          <w:u w:val="none"/>
        </w:rPr>
        <w:t>万元，一般债务余额为</w:t>
      </w:r>
      <w:r>
        <w:rPr>
          <w:rFonts w:hint="eastAsia" w:ascii="仿宋" w:hAnsi="仿宋" w:eastAsia="仿宋_GB2312" w:cs="仿宋"/>
          <w:color w:val="auto"/>
          <w:sz w:val="32"/>
          <w:szCs w:val="32"/>
          <w:u w:val="none"/>
          <w:lang w:val="en-US" w:eastAsia="zh-CN"/>
        </w:rPr>
        <w:t>83365</w:t>
      </w:r>
      <w:r>
        <w:rPr>
          <w:rFonts w:hint="eastAsia" w:ascii="仿宋" w:hAnsi="仿宋" w:eastAsia="仿宋_GB2312" w:cs="仿宋"/>
          <w:color w:val="auto"/>
          <w:sz w:val="32"/>
          <w:szCs w:val="32"/>
          <w:u w:val="none"/>
        </w:rPr>
        <w:t>万元，</w:t>
      </w:r>
      <w:r>
        <w:rPr>
          <w:rFonts w:hint="eastAsia" w:ascii="仿宋" w:hAnsi="仿宋" w:eastAsia="仿宋_GB2312" w:cs="仿宋"/>
          <w:color w:val="auto"/>
          <w:sz w:val="32"/>
          <w:szCs w:val="32"/>
          <w:u w:val="none"/>
          <w:lang w:eastAsia="zh-CN"/>
        </w:rPr>
        <w:t>当年</w:t>
      </w:r>
      <w:r>
        <w:rPr>
          <w:rFonts w:hint="eastAsia" w:ascii="仿宋" w:hAnsi="仿宋" w:eastAsia="仿宋_GB2312" w:cs="仿宋"/>
          <w:color w:val="auto"/>
          <w:sz w:val="32"/>
          <w:szCs w:val="32"/>
          <w:u w:val="none"/>
        </w:rPr>
        <w:t>限额使用比例</w:t>
      </w:r>
      <w:r>
        <w:rPr>
          <w:rFonts w:hint="eastAsia" w:ascii="仿宋" w:hAnsi="仿宋" w:eastAsia="仿宋_GB2312" w:cs="仿宋"/>
          <w:color w:val="auto"/>
          <w:sz w:val="32"/>
          <w:szCs w:val="32"/>
          <w:u w:val="none"/>
          <w:lang w:val="en-US" w:eastAsia="zh-CN"/>
        </w:rPr>
        <w:t>100%</w:t>
      </w:r>
      <w:r>
        <w:rPr>
          <w:rFonts w:hint="eastAsia" w:ascii="仿宋" w:hAnsi="仿宋" w:eastAsia="仿宋_GB2312" w:cs="仿宋"/>
          <w:color w:val="auto"/>
          <w:sz w:val="32"/>
          <w:szCs w:val="32"/>
          <w:u w:val="none"/>
        </w:rPr>
        <w:t>；政府专项债务限额</w:t>
      </w:r>
      <w:r>
        <w:rPr>
          <w:rFonts w:hint="eastAsia" w:ascii="仿宋" w:hAnsi="仿宋" w:eastAsia="仿宋_GB2312" w:cs="仿宋"/>
          <w:color w:val="auto"/>
          <w:sz w:val="32"/>
          <w:szCs w:val="32"/>
          <w:u w:val="none"/>
          <w:lang w:val="en-US" w:eastAsia="zh-CN"/>
        </w:rPr>
        <w:t>400800</w:t>
      </w:r>
      <w:r>
        <w:rPr>
          <w:rFonts w:hint="eastAsia" w:ascii="仿宋" w:hAnsi="仿宋" w:eastAsia="仿宋_GB2312" w:cs="仿宋"/>
          <w:color w:val="auto"/>
          <w:sz w:val="32"/>
          <w:szCs w:val="32"/>
          <w:u w:val="none"/>
        </w:rPr>
        <w:t>万元，专项债券余额为</w:t>
      </w:r>
      <w:r>
        <w:rPr>
          <w:rFonts w:hint="eastAsia" w:ascii="仿宋" w:hAnsi="仿宋" w:eastAsia="仿宋_GB2312" w:cs="仿宋"/>
          <w:color w:val="auto"/>
          <w:sz w:val="32"/>
          <w:szCs w:val="32"/>
          <w:u w:val="none"/>
          <w:lang w:val="en-US" w:eastAsia="zh-CN"/>
        </w:rPr>
        <w:t>400800</w:t>
      </w:r>
      <w:r>
        <w:rPr>
          <w:rFonts w:hint="eastAsia" w:ascii="仿宋" w:hAnsi="仿宋" w:eastAsia="仿宋_GB2312" w:cs="仿宋"/>
          <w:color w:val="auto"/>
          <w:sz w:val="32"/>
          <w:szCs w:val="32"/>
          <w:u w:val="none"/>
        </w:rPr>
        <w:t>万元，</w:t>
      </w:r>
      <w:r>
        <w:rPr>
          <w:rFonts w:hint="eastAsia" w:ascii="仿宋" w:hAnsi="仿宋" w:eastAsia="仿宋_GB2312" w:cs="仿宋"/>
          <w:color w:val="auto"/>
          <w:sz w:val="32"/>
          <w:szCs w:val="32"/>
          <w:u w:val="none"/>
          <w:lang w:eastAsia="zh-CN"/>
        </w:rPr>
        <w:t>当年</w:t>
      </w:r>
      <w:r>
        <w:rPr>
          <w:rFonts w:hint="eastAsia" w:ascii="仿宋" w:hAnsi="仿宋" w:eastAsia="仿宋_GB2312" w:cs="仿宋"/>
          <w:color w:val="auto"/>
          <w:sz w:val="32"/>
          <w:szCs w:val="32"/>
          <w:u w:val="none"/>
        </w:rPr>
        <w:t>限额使用比例</w:t>
      </w:r>
      <w:r>
        <w:rPr>
          <w:rFonts w:hint="eastAsia" w:ascii="仿宋" w:hAnsi="仿宋" w:eastAsia="仿宋_GB2312" w:cs="仿宋"/>
          <w:color w:val="auto"/>
          <w:sz w:val="32"/>
          <w:szCs w:val="32"/>
          <w:u w:val="none"/>
          <w:lang w:val="en-US" w:eastAsia="zh-CN"/>
        </w:rPr>
        <w:t>100%</w:t>
      </w:r>
      <w:r>
        <w:rPr>
          <w:rFonts w:hint="eastAsia" w:ascii="仿宋" w:hAnsi="仿宋" w:eastAsia="仿宋_GB2312" w:cs="仿宋"/>
          <w:color w:val="auto"/>
          <w:sz w:val="32"/>
          <w:szCs w:val="32"/>
          <w:u w:val="none"/>
        </w:rPr>
        <w:t>。结合我</w:t>
      </w:r>
      <w:r>
        <w:rPr>
          <w:rFonts w:hint="eastAsia" w:ascii="仿宋" w:hAnsi="仿宋" w:eastAsia="仿宋_GB2312" w:cs="仿宋"/>
          <w:color w:val="auto"/>
          <w:sz w:val="32"/>
          <w:szCs w:val="32"/>
        </w:rPr>
        <w:t>县实际情况，统筹考虑我县综合财力，</w:t>
      </w:r>
      <w:r>
        <w:rPr>
          <w:rFonts w:hint="eastAsia" w:ascii="仿宋" w:hAnsi="仿宋" w:eastAsia="仿宋_GB2312" w:cs="仿宋"/>
          <w:color w:val="auto"/>
          <w:sz w:val="32"/>
          <w:szCs w:val="32"/>
          <w:lang w:eastAsia="zh-CN"/>
        </w:rPr>
        <w:t>202</w:t>
      </w:r>
      <w:r>
        <w:rPr>
          <w:rFonts w:hint="eastAsia" w:ascii="仿宋" w:hAnsi="仿宋" w:eastAsia="仿宋_GB2312" w:cs="仿宋"/>
          <w:color w:val="auto"/>
          <w:sz w:val="32"/>
          <w:szCs w:val="32"/>
          <w:lang w:val="en-US" w:eastAsia="zh-CN"/>
        </w:rPr>
        <w:t>6</w:t>
      </w:r>
      <w:r>
        <w:rPr>
          <w:rFonts w:hint="eastAsia" w:ascii="仿宋" w:hAnsi="仿宋" w:eastAsia="仿宋_GB2312" w:cs="仿宋"/>
          <w:color w:val="auto"/>
          <w:sz w:val="32"/>
          <w:szCs w:val="32"/>
          <w:lang w:eastAsia="zh-CN"/>
        </w:rPr>
        <w:t>年</w:t>
      </w:r>
      <w:r>
        <w:rPr>
          <w:rFonts w:hint="eastAsia" w:ascii="仿宋" w:hAnsi="仿宋" w:eastAsia="仿宋_GB2312" w:cs="仿宋"/>
          <w:color w:val="auto"/>
          <w:sz w:val="32"/>
          <w:szCs w:val="32"/>
        </w:rPr>
        <w:t>年初预算安排债</w:t>
      </w:r>
      <w:r>
        <w:rPr>
          <w:rFonts w:hint="eastAsia" w:ascii="仿宋" w:hAnsi="仿宋" w:eastAsia="仿宋_GB2312" w:cs="仿宋"/>
          <w:color w:val="auto"/>
          <w:sz w:val="32"/>
          <w:szCs w:val="32"/>
          <w:lang w:val="en-US" w:eastAsia="zh-CN"/>
        </w:rPr>
        <w:t>券</w:t>
      </w:r>
      <w:r>
        <w:rPr>
          <w:rFonts w:hint="eastAsia" w:ascii="仿宋" w:hAnsi="仿宋" w:eastAsia="仿宋_GB2312" w:cs="仿宋"/>
          <w:color w:val="auto"/>
          <w:sz w:val="32"/>
          <w:szCs w:val="32"/>
        </w:rPr>
        <w:t>还本付息</w:t>
      </w:r>
      <w:r>
        <w:rPr>
          <w:rFonts w:hint="eastAsia" w:ascii="仿宋" w:hAnsi="仿宋" w:eastAsia="仿宋_GB2312" w:cs="仿宋"/>
          <w:color w:val="auto"/>
          <w:sz w:val="32"/>
          <w:szCs w:val="32"/>
          <w:lang w:val="en-US" w:eastAsia="zh-CN"/>
        </w:rPr>
        <w:t>付费</w:t>
      </w:r>
      <w:r>
        <w:rPr>
          <w:rFonts w:hint="eastAsia" w:ascii="仿宋" w:hAnsi="仿宋" w:eastAsia="仿宋_GB2312" w:cs="仿宋"/>
          <w:color w:val="auto"/>
          <w:sz w:val="32"/>
          <w:szCs w:val="32"/>
        </w:rPr>
        <w:t>支出</w:t>
      </w:r>
      <w:r>
        <w:rPr>
          <w:rFonts w:hint="eastAsia" w:ascii="仿宋" w:hAnsi="仿宋" w:eastAsia="仿宋_GB2312" w:cs="仿宋"/>
          <w:color w:val="auto"/>
          <w:sz w:val="32"/>
          <w:szCs w:val="32"/>
          <w:lang w:val="en-US" w:eastAsia="zh-CN"/>
        </w:rPr>
        <w:t>15470</w:t>
      </w:r>
      <w:r>
        <w:rPr>
          <w:rFonts w:hint="eastAsia" w:ascii="仿宋" w:hAnsi="仿宋" w:eastAsia="仿宋_GB2312" w:cs="仿宋"/>
          <w:color w:val="auto"/>
          <w:sz w:val="32"/>
          <w:szCs w:val="32"/>
        </w:rPr>
        <w:t>万元。其中：</w:t>
      </w:r>
      <w:r>
        <w:rPr>
          <w:rFonts w:hint="eastAsia" w:ascii="仿宋" w:hAnsi="仿宋" w:eastAsia="仿宋_GB2312" w:cs="仿宋"/>
          <w:color w:val="auto"/>
          <w:sz w:val="32"/>
          <w:szCs w:val="32"/>
          <w:lang w:eastAsia="zh-CN"/>
        </w:rPr>
        <w:t>一般债券还本</w:t>
      </w:r>
      <w:r>
        <w:rPr>
          <w:rFonts w:hint="eastAsia" w:ascii="仿宋" w:hAnsi="仿宋" w:eastAsia="仿宋_GB2312" w:cs="仿宋"/>
          <w:color w:val="auto"/>
          <w:sz w:val="32"/>
          <w:szCs w:val="32"/>
          <w:lang w:val="en-US" w:eastAsia="zh-CN"/>
        </w:rPr>
        <w:t>1000万元（再融资债券900万元，一般公共预算偿还100万元），</w:t>
      </w:r>
      <w:r>
        <w:rPr>
          <w:rFonts w:hint="eastAsia" w:ascii="仿宋" w:hAnsi="仿宋" w:eastAsia="仿宋_GB2312" w:cs="仿宋"/>
          <w:color w:val="auto"/>
          <w:sz w:val="32"/>
          <w:szCs w:val="32"/>
        </w:rPr>
        <w:t>政府一般债券利息及手续费</w:t>
      </w:r>
      <w:r>
        <w:rPr>
          <w:rFonts w:hint="eastAsia" w:ascii="仿宋" w:hAnsi="仿宋" w:eastAsia="仿宋_GB2312" w:cs="仿宋"/>
          <w:color w:val="auto"/>
          <w:sz w:val="32"/>
          <w:szCs w:val="32"/>
          <w:lang w:val="en-US" w:eastAsia="zh-CN"/>
        </w:rPr>
        <w:t>2520</w:t>
      </w:r>
      <w:r>
        <w:rPr>
          <w:rFonts w:hint="eastAsia" w:ascii="仿宋" w:hAnsi="仿宋" w:eastAsia="仿宋_GB2312" w:cs="仿宋"/>
          <w:color w:val="auto"/>
          <w:sz w:val="32"/>
          <w:szCs w:val="32"/>
        </w:rPr>
        <w:t>万元</w:t>
      </w:r>
      <w:r>
        <w:rPr>
          <w:rFonts w:hint="eastAsia" w:ascii="仿宋" w:hAnsi="仿宋" w:eastAsia="仿宋_GB2312" w:cs="仿宋"/>
          <w:color w:val="auto"/>
          <w:sz w:val="32"/>
          <w:szCs w:val="32"/>
          <w:lang w:eastAsia="zh-CN"/>
        </w:rPr>
        <w:t>，支付专项</w:t>
      </w:r>
      <w:r>
        <w:rPr>
          <w:rFonts w:hint="eastAsia" w:ascii="仿宋" w:hAnsi="仿宋" w:eastAsia="仿宋_GB2312" w:cs="仿宋"/>
          <w:color w:val="auto"/>
          <w:sz w:val="32"/>
          <w:szCs w:val="32"/>
        </w:rPr>
        <w:t>债券利息及手续费</w:t>
      </w:r>
      <w:r>
        <w:rPr>
          <w:rFonts w:hint="eastAsia" w:ascii="仿宋" w:hAnsi="仿宋" w:eastAsia="仿宋_GB2312" w:cs="仿宋"/>
          <w:color w:val="auto"/>
          <w:sz w:val="32"/>
          <w:szCs w:val="32"/>
          <w:lang w:val="en-US" w:eastAsia="zh-CN"/>
        </w:rPr>
        <w:t>11950</w:t>
      </w:r>
      <w:r>
        <w:rPr>
          <w:rFonts w:hint="eastAsia" w:ascii="仿宋" w:hAnsi="仿宋" w:eastAsia="仿宋_GB2312" w:cs="仿宋"/>
          <w:color w:val="auto"/>
          <w:sz w:val="32"/>
          <w:szCs w:val="32"/>
        </w:rPr>
        <w:t>万元。</w:t>
      </w:r>
      <w:r>
        <w:rPr>
          <w:rFonts w:hint="eastAsia" w:ascii="仿宋" w:hAnsi="仿宋" w:eastAsia="仿宋_GB2312" w:cs="仿宋"/>
          <w:color w:val="auto"/>
          <w:sz w:val="32"/>
          <w:szCs w:val="32"/>
          <w:lang w:val="en-US" w:eastAsia="zh-CN"/>
        </w:rPr>
        <w:t>确保按时足额偿还，切实防范政府</w:t>
      </w:r>
      <w:r>
        <w:rPr>
          <w:rFonts w:hint="eastAsia" w:ascii="仿宋" w:hAnsi="仿宋" w:eastAsia="仿宋_GB2312" w:cs="仿宋"/>
          <w:color w:val="auto"/>
          <w:sz w:val="32"/>
          <w:szCs w:val="32"/>
        </w:rPr>
        <w:t>债务风险。</w:t>
      </w:r>
    </w:p>
    <w:p>
      <w:pPr>
        <w:pageBreakBefore w:val="0"/>
        <w:kinsoku/>
        <w:wordWrap/>
        <w:topLinePunct w:val="0"/>
        <w:bidi w:val="0"/>
        <w:ind w:firstLine="880" w:firstLineChars="200"/>
        <w:jc w:val="both"/>
        <w:rPr>
          <w:rFonts w:ascii="宋体" w:hAnsi="宋体"/>
          <w:sz w:val="44"/>
          <w:szCs w:val="44"/>
        </w:rPr>
      </w:pPr>
    </w:p>
    <w:p>
      <w:pPr>
        <w:pageBreakBefore w:val="0"/>
        <w:kinsoku/>
        <w:wordWrap/>
        <w:topLinePunct w:val="0"/>
        <w:bidi w:val="0"/>
        <w:ind w:firstLine="880" w:firstLineChars="200"/>
        <w:jc w:val="both"/>
        <w:rPr>
          <w:rFonts w:ascii="宋体" w:hAnsi="宋体"/>
          <w:sz w:val="44"/>
          <w:szCs w:val="44"/>
        </w:rPr>
      </w:pPr>
    </w:p>
    <w:p>
      <w:pPr>
        <w:pageBreakBefore w:val="0"/>
        <w:kinsoku/>
        <w:wordWrap/>
        <w:topLinePunct w:val="0"/>
        <w:bidi w:val="0"/>
        <w:spacing w:after="0"/>
        <w:ind w:firstLine="880" w:firstLineChars="200"/>
        <w:jc w:val="both"/>
        <w:rPr>
          <w:rFonts w:ascii="宋体" w:hAnsi="宋体"/>
          <w:sz w:val="44"/>
          <w:szCs w:val="44"/>
        </w:rPr>
      </w:pPr>
    </w:p>
    <w:p>
      <w:pPr>
        <w:pageBreakBefore w:val="0"/>
        <w:kinsoku/>
        <w:wordWrap/>
        <w:topLinePunct w:val="0"/>
        <w:bidi w:val="0"/>
        <w:spacing w:after="0"/>
        <w:ind w:firstLine="880" w:firstLineChars="200"/>
        <w:jc w:val="both"/>
        <w:rPr>
          <w:rFonts w:ascii="宋体" w:hAnsi="宋体"/>
          <w:sz w:val="44"/>
          <w:szCs w:val="44"/>
        </w:rPr>
      </w:pPr>
    </w:p>
    <w:p>
      <w:pPr>
        <w:pageBreakBefore w:val="0"/>
        <w:kinsoku/>
        <w:wordWrap/>
        <w:topLinePunct w:val="0"/>
        <w:bidi w:val="0"/>
        <w:spacing w:after="0"/>
        <w:ind w:firstLine="880" w:firstLineChars="200"/>
        <w:jc w:val="both"/>
        <w:rPr>
          <w:rFonts w:ascii="宋体" w:hAnsi="宋体"/>
          <w:sz w:val="44"/>
          <w:szCs w:val="44"/>
        </w:rPr>
      </w:pPr>
    </w:p>
    <w:p>
      <w:pPr>
        <w:pageBreakBefore w:val="0"/>
        <w:kinsoku/>
        <w:wordWrap/>
        <w:topLinePunct w:val="0"/>
        <w:bidi w:val="0"/>
        <w:spacing w:after="0"/>
        <w:ind w:firstLine="880" w:firstLineChars="200"/>
        <w:jc w:val="both"/>
        <w:rPr>
          <w:rFonts w:ascii="宋体" w:hAnsi="宋体"/>
          <w:sz w:val="44"/>
          <w:szCs w:val="44"/>
        </w:rPr>
      </w:pPr>
    </w:p>
    <w:p>
      <w:pPr>
        <w:pageBreakBefore w:val="0"/>
        <w:kinsoku/>
        <w:wordWrap/>
        <w:topLinePunct w:val="0"/>
        <w:bidi w:val="0"/>
        <w:spacing w:after="0"/>
        <w:ind w:left="0" w:leftChars="0" w:firstLine="0" w:firstLineChars="0"/>
        <w:jc w:val="center"/>
        <w:rPr>
          <w:rFonts w:hint="eastAsia" w:ascii="方正小标宋_GBK" w:hAnsi="方正小标宋_GBK" w:eastAsia="方正小标宋_GBK" w:cs="方正小标宋_GBK"/>
          <w:sz w:val="44"/>
          <w:szCs w:val="44"/>
        </w:rPr>
      </w:pPr>
    </w:p>
    <w:p>
      <w:pPr>
        <w:pageBreakBefore w:val="0"/>
        <w:kinsoku/>
        <w:wordWrap/>
        <w:topLinePunct w:val="0"/>
        <w:bidi w:val="0"/>
        <w:spacing w:after="0"/>
        <w:ind w:left="0" w:leftChars="0" w:firstLine="0" w:firstLineChars="0"/>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深泽县财政局</w:t>
      </w:r>
    </w:p>
    <w:p>
      <w:pPr>
        <w:pageBreakBefore w:val="0"/>
        <w:kinsoku/>
        <w:wordWrap/>
        <w:topLinePunct w:val="0"/>
        <w:bidi w:val="0"/>
        <w:spacing w:after="0"/>
        <w:ind w:left="0" w:leftChars="0" w:firstLine="0" w:firstLineChars="0"/>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w:t>
      </w:r>
      <w:r>
        <w:rPr>
          <w:rFonts w:hint="eastAsia" w:ascii="方正小标宋_GBK" w:hAnsi="方正小标宋_GBK" w:eastAsia="方正小标宋_GBK" w:cs="方正小标宋_GBK"/>
          <w:sz w:val="44"/>
          <w:szCs w:val="44"/>
          <w:lang w:eastAsia="zh-CN"/>
        </w:rPr>
        <w:t>202</w:t>
      </w:r>
      <w:r>
        <w:rPr>
          <w:rFonts w:hint="eastAsia" w:ascii="方正小标宋_GBK" w:hAnsi="方正小标宋_GBK" w:eastAsia="方正小标宋_GBK" w:cs="方正小标宋_GBK"/>
          <w:sz w:val="44"/>
          <w:szCs w:val="44"/>
          <w:lang w:val="en-US" w:eastAsia="zh-CN"/>
        </w:rPr>
        <w:t>6</w:t>
      </w:r>
      <w:r>
        <w:rPr>
          <w:rFonts w:hint="eastAsia" w:ascii="方正小标宋_GBK" w:hAnsi="方正小标宋_GBK" w:eastAsia="方正小标宋_GBK" w:cs="方正小标宋_GBK"/>
          <w:sz w:val="44"/>
          <w:szCs w:val="44"/>
          <w:lang w:eastAsia="zh-CN"/>
        </w:rPr>
        <w:t>年</w:t>
      </w:r>
      <w:r>
        <w:rPr>
          <w:rFonts w:hint="eastAsia" w:ascii="方正小标宋_GBK" w:hAnsi="方正小标宋_GBK" w:eastAsia="方正小标宋_GBK" w:cs="方正小标宋_GBK"/>
          <w:sz w:val="44"/>
          <w:szCs w:val="44"/>
        </w:rPr>
        <w:t>财政转移支付安排情况的</w:t>
      </w:r>
    </w:p>
    <w:p>
      <w:pPr>
        <w:pageBreakBefore w:val="0"/>
        <w:kinsoku/>
        <w:wordWrap/>
        <w:topLinePunct w:val="0"/>
        <w:bidi w:val="0"/>
        <w:spacing w:after="0"/>
        <w:ind w:left="0" w:leftChars="0" w:firstLine="0" w:firstLineChars="0"/>
        <w:jc w:val="center"/>
        <w:rPr>
          <w:rFonts w:hint="eastAsia"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44"/>
          <w:szCs w:val="44"/>
        </w:rPr>
        <w:t>说</w:t>
      </w:r>
      <w:r>
        <w:rPr>
          <w:rFonts w:hint="eastAsia" w:ascii="方正小标宋_GBK" w:hAnsi="方正小标宋_GBK" w:eastAsia="方正小标宋_GBK" w:cs="方正小标宋_GBK"/>
          <w:sz w:val="44"/>
          <w:szCs w:val="44"/>
          <w:lang w:val="en-US" w:eastAsia="zh-CN"/>
        </w:rPr>
        <w:t xml:space="preserve">    </w:t>
      </w:r>
      <w:r>
        <w:rPr>
          <w:rFonts w:hint="eastAsia" w:ascii="方正小标宋_GBK" w:hAnsi="方正小标宋_GBK" w:eastAsia="方正小标宋_GBK" w:cs="方正小标宋_GBK"/>
          <w:sz w:val="44"/>
          <w:szCs w:val="44"/>
        </w:rPr>
        <w:t xml:space="preserve"> 明</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按照</w:t>
      </w:r>
      <w:r>
        <w:rPr>
          <w:rFonts w:hint="eastAsia" w:ascii="仿宋" w:hAnsi="仿宋" w:eastAsia="仿宋_GB2312" w:cs="仿宋"/>
          <w:sz w:val="32"/>
          <w:szCs w:val="32"/>
          <w:lang w:eastAsia="zh-CN"/>
        </w:rPr>
        <w:t>《中华人民共和国预算法》</w:t>
      </w:r>
      <w:r>
        <w:rPr>
          <w:rFonts w:hint="eastAsia" w:ascii="仿宋" w:hAnsi="仿宋" w:eastAsia="仿宋_GB2312" w:cs="仿宋"/>
          <w:sz w:val="32"/>
          <w:szCs w:val="32"/>
        </w:rPr>
        <w:t>和省市有关规定要求，现将我县</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w:t>
      </w:r>
      <w:r>
        <w:rPr>
          <w:rFonts w:hint="eastAsia" w:ascii="仿宋" w:hAnsi="仿宋" w:eastAsia="仿宋_GB2312" w:cs="仿宋"/>
          <w:sz w:val="32"/>
          <w:szCs w:val="32"/>
        </w:rPr>
        <w:t>财政转移支付资金的安排情况进行如下说明：</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一、</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w:t>
      </w:r>
      <w:r>
        <w:rPr>
          <w:rFonts w:hint="eastAsia" w:ascii="仿宋" w:hAnsi="仿宋" w:eastAsia="仿宋_GB2312" w:cs="仿宋"/>
          <w:sz w:val="32"/>
          <w:szCs w:val="32"/>
        </w:rPr>
        <w:t>我县实行“统收统支”政策，</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w:t>
      </w:r>
      <w:r>
        <w:rPr>
          <w:rFonts w:hint="eastAsia" w:ascii="仿宋" w:hAnsi="仿宋" w:eastAsia="仿宋_GB2312" w:cs="仿宋"/>
          <w:sz w:val="32"/>
          <w:szCs w:val="32"/>
        </w:rPr>
        <w:t>预算没有安排对下转移支付支出。</w:t>
      </w:r>
    </w:p>
    <w:p>
      <w:pPr>
        <w:pageBreakBefore w:val="0"/>
        <w:kinsoku/>
        <w:wordWrap/>
        <w:topLinePunct w:val="0"/>
        <w:bidi w:val="0"/>
        <w:spacing w:after="0" w:line="600" w:lineRule="exact"/>
        <w:ind w:firstLine="645"/>
        <w:jc w:val="both"/>
        <w:rPr>
          <w:rFonts w:ascii="仿宋" w:hAnsi="仿宋" w:eastAsia="仿宋_GB2312" w:cs="仿宋"/>
          <w:sz w:val="32"/>
          <w:szCs w:val="32"/>
        </w:rPr>
      </w:pPr>
      <w:r>
        <w:rPr>
          <w:rFonts w:hint="eastAsia" w:ascii="仿宋" w:hAnsi="仿宋" w:eastAsia="仿宋_GB2312" w:cs="仿宋"/>
          <w:sz w:val="32"/>
          <w:szCs w:val="32"/>
        </w:rPr>
        <w:t>二、我县上级提前下达转移支付收入</w:t>
      </w:r>
      <w:r>
        <w:rPr>
          <w:rFonts w:hint="eastAsia" w:ascii="仿宋" w:hAnsi="仿宋" w:eastAsia="仿宋_GB2312" w:cs="仿宋"/>
          <w:sz w:val="32"/>
          <w:szCs w:val="32"/>
          <w:lang w:val="en-US" w:eastAsia="zh-CN"/>
        </w:rPr>
        <w:t>102224</w:t>
      </w:r>
      <w:r>
        <w:rPr>
          <w:rFonts w:hint="eastAsia" w:ascii="仿宋" w:hAnsi="仿宋" w:eastAsia="仿宋_GB2312" w:cs="仿宋"/>
          <w:sz w:val="32"/>
          <w:szCs w:val="32"/>
        </w:rPr>
        <w:t>万元，全部安排入</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w:t>
      </w:r>
      <w:r>
        <w:rPr>
          <w:rFonts w:hint="eastAsia" w:ascii="仿宋" w:hAnsi="仿宋" w:eastAsia="仿宋_GB2312" w:cs="仿宋"/>
          <w:sz w:val="32"/>
          <w:szCs w:val="32"/>
        </w:rPr>
        <w:t>预算，其中：税收返还补助8263万元，一般性转移支付</w:t>
      </w:r>
      <w:r>
        <w:rPr>
          <w:rFonts w:hint="eastAsia" w:ascii="仿宋" w:hAnsi="仿宋" w:eastAsia="仿宋_GB2312" w:cs="仿宋"/>
          <w:sz w:val="32"/>
          <w:szCs w:val="32"/>
          <w:lang w:val="en-US" w:eastAsia="zh-CN"/>
        </w:rPr>
        <w:t>89854</w:t>
      </w:r>
      <w:r>
        <w:rPr>
          <w:rFonts w:hint="eastAsia" w:ascii="仿宋" w:hAnsi="仿宋" w:eastAsia="仿宋_GB2312" w:cs="仿宋"/>
          <w:sz w:val="32"/>
          <w:szCs w:val="32"/>
        </w:rPr>
        <w:t>万元,专项转移支付</w:t>
      </w:r>
      <w:r>
        <w:rPr>
          <w:rFonts w:hint="eastAsia" w:ascii="仿宋" w:hAnsi="仿宋" w:eastAsia="仿宋_GB2312" w:cs="仿宋"/>
          <w:sz w:val="32"/>
          <w:szCs w:val="32"/>
          <w:lang w:val="en-US" w:eastAsia="zh-CN"/>
        </w:rPr>
        <w:t>4107</w:t>
      </w:r>
      <w:r>
        <w:rPr>
          <w:rFonts w:hint="eastAsia" w:ascii="仿宋" w:hAnsi="仿宋" w:eastAsia="仿宋_GB2312" w:cs="仿宋"/>
          <w:sz w:val="32"/>
          <w:szCs w:val="32"/>
        </w:rPr>
        <w:t>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（一）税收返还补助8263万元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1.增值税税收返还收入1444万元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2.</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w:t>
      </w:r>
      <w:r>
        <w:rPr>
          <w:rFonts w:hint="eastAsia" w:ascii="仿宋" w:hAnsi="仿宋" w:eastAsia="仿宋_GB2312" w:cs="仿宋"/>
          <w:sz w:val="32"/>
          <w:szCs w:val="32"/>
        </w:rPr>
        <w:t>省对下增值税税收返还5170万元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3.所得税基数返还收入652万元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4.成品油税费改革税收返还收入997万元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（二）专项转移支付</w:t>
      </w:r>
      <w:r>
        <w:rPr>
          <w:rFonts w:hint="eastAsia" w:ascii="仿宋" w:hAnsi="仿宋" w:eastAsia="仿宋_GB2312" w:cs="仿宋"/>
          <w:sz w:val="32"/>
          <w:szCs w:val="32"/>
          <w:lang w:val="en-US" w:eastAsia="zh-CN"/>
        </w:rPr>
        <w:t>4107</w:t>
      </w:r>
      <w:r>
        <w:rPr>
          <w:rFonts w:hint="eastAsia" w:ascii="仿宋" w:hAnsi="仿宋" w:eastAsia="仿宋_GB2312" w:cs="仿宋"/>
          <w:sz w:val="32"/>
          <w:szCs w:val="32"/>
        </w:rPr>
        <w:t>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（三）一般性转移支付</w:t>
      </w:r>
      <w:r>
        <w:rPr>
          <w:rFonts w:hint="eastAsia" w:ascii="仿宋" w:hAnsi="仿宋" w:eastAsia="仿宋_GB2312" w:cs="仿宋"/>
          <w:sz w:val="32"/>
          <w:szCs w:val="32"/>
          <w:lang w:val="en-US" w:eastAsia="zh-CN"/>
        </w:rPr>
        <w:t>89854</w:t>
      </w:r>
      <w:r>
        <w:rPr>
          <w:rFonts w:hint="eastAsia" w:ascii="仿宋" w:hAnsi="仿宋" w:eastAsia="仿宋_GB2312" w:cs="仿宋"/>
          <w:sz w:val="32"/>
          <w:szCs w:val="32"/>
        </w:rPr>
        <w:t>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1.体制补助收入385万元</w:t>
      </w: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2.均衡性转移支付补助收入</w:t>
      </w:r>
      <w:r>
        <w:rPr>
          <w:rFonts w:hint="eastAsia" w:ascii="仿宋" w:hAnsi="仿宋" w:eastAsia="仿宋_GB2312" w:cs="仿宋"/>
          <w:sz w:val="32"/>
          <w:szCs w:val="32"/>
          <w:lang w:val="en-US" w:eastAsia="zh-CN"/>
        </w:rPr>
        <w:t>30726</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3.县级基本财力保障机制奖补资金收入</w:t>
      </w:r>
      <w:r>
        <w:rPr>
          <w:rFonts w:hint="eastAsia" w:ascii="仿宋" w:hAnsi="仿宋" w:eastAsia="仿宋_GB2312" w:cs="仿宋"/>
          <w:sz w:val="32"/>
          <w:szCs w:val="32"/>
          <w:lang w:val="en-US" w:eastAsia="zh-CN"/>
        </w:rPr>
        <w:t>14255</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4.结算补助收入</w:t>
      </w:r>
      <w:r>
        <w:rPr>
          <w:rFonts w:hint="eastAsia" w:ascii="仿宋" w:hAnsi="仿宋" w:eastAsia="仿宋_GB2312" w:cs="仿宋"/>
          <w:sz w:val="32"/>
          <w:szCs w:val="32"/>
          <w:lang w:val="en-US" w:eastAsia="zh-CN"/>
        </w:rPr>
        <w:t>434</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5.产粮（油）大县奖励资金收入</w:t>
      </w:r>
      <w:r>
        <w:rPr>
          <w:rFonts w:hint="eastAsia" w:ascii="仿宋" w:hAnsi="仿宋" w:eastAsia="仿宋_GB2312" w:cs="仿宋"/>
          <w:sz w:val="32"/>
          <w:szCs w:val="32"/>
          <w:lang w:val="en-US" w:eastAsia="zh-CN"/>
        </w:rPr>
        <w:t>2035</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6.固定数额补助收入</w:t>
      </w:r>
      <w:r>
        <w:rPr>
          <w:rFonts w:hint="eastAsia" w:ascii="仿宋" w:hAnsi="仿宋" w:eastAsia="仿宋_GB2312" w:cs="仿宋"/>
          <w:sz w:val="32"/>
          <w:szCs w:val="32"/>
          <w:lang w:val="en-US" w:eastAsia="zh-CN"/>
        </w:rPr>
        <w:t>5908</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7.革命老区转移支付收入</w:t>
      </w:r>
      <w:r>
        <w:rPr>
          <w:rFonts w:hint="eastAsia" w:ascii="仿宋" w:hAnsi="仿宋" w:eastAsia="仿宋_GB2312" w:cs="仿宋"/>
          <w:sz w:val="32"/>
          <w:szCs w:val="32"/>
          <w:lang w:val="en-US" w:eastAsia="zh-CN"/>
        </w:rPr>
        <w:t>332</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8.巩固脱贫攻坚成果衔接乡村振兴转移支付收入</w:t>
      </w:r>
      <w:r>
        <w:rPr>
          <w:rFonts w:hint="eastAsia" w:ascii="仿宋" w:hAnsi="仿宋" w:eastAsia="仿宋_GB2312" w:cs="仿宋"/>
          <w:sz w:val="32"/>
          <w:szCs w:val="32"/>
          <w:lang w:val="en-US" w:eastAsia="zh-CN"/>
        </w:rPr>
        <w:t>738</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9.一般公共服务共同财政事权转移支付收入</w:t>
      </w:r>
      <w:r>
        <w:rPr>
          <w:rFonts w:hint="eastAsia" w:ascii="仿宋" w:hAnsi="仿宋" w:eastAsia="仿宋_GB2312" w:cs="仿宋"/>
          <w:sz w:val="32"/>
          <w:szCs w:val="32"/>
          <w:lang w:val="en-US" w:eastAsia="zh-CN"/>
        </w:rPr>
        <w:t>28</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10.公共安全共同财政事权转移支付收入</w:t>
      </w:r>
      <w:r>
        <w:rPr>
          <w:rFonts w:hint="eastAsia" w:ascii="仿宋" w:hAnsi="仿宋" w:eastAsia="仿宋_GB2312" w:cs="仿宋"/>
          <w:sz w:val="32"/>
          <w:szCs w:val="32"/>
          <w:lang w:val="en-US" w:eastAsia="zh-CN"/>
        </w:rPr>
        <w:t>723</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11.教育共同财政事权转移支付收入</w:t>
      </w:r>
      <w:r>
        <w:rPr>
          <w:rFonts w:hint="eastAsia" w:ascii="仿宋" w:hAnsi="仿宋" w:eastAsia="仿宋_GB2312" w:cs="仿宋"/>
          <w:sz w:val="32"/>
          <w:szCs w:val="32"/>
          <w:lang w:val="en-US" w:eastAsia="zh-CN"/>
        </w:rPr>
        <w:t>5252</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12.科学技术共同财政事权转移支付收入</w:t>
      </w:r>
      <w:r>
        <w:rPr>
          <w:rFonts w:hint="eastAsia" w:ascii="仿宋" w:hAnsi="仿宋" w:eastAsia="仿宋_GB2312" w:cs="仿宋"/>
          <w:sz w:val="32"/>
          <w:szCs w:val="32"/>
          <w:lang w:val="en-US" w:eastAsia="zh-CN"/>
        </w:rPr>
        <w:t>28</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13.文化旅游体育与传媒共同财政事权转移支付收入</w:t>
      </w:r>
      <w:r>
        <w:rPr>
          <w:rFonts w:hint="eastAsia" w:ascii="仿宋" w:hAnsi="仿宋" w:eastAsia="仿宋_GB2312" w:cs="仿宋"/>
          <w:sz w:val="32"/>
          <w:szCs w:val="32"/>
          <w:lang w:val="en-US" w:eastAsia="zh-CN"/>
        </w:rPr>
        <w:t>268</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14.社会保障和就业共同财政事权转移支付收入</w:t>
      </w:r>
      <w:r>
        <w:rPr>
          <w:rFonts w:hint="eastAsia" w:ascii="仿宋" w:hAnsi="仿宋" w:eastAsia="仿宋_GB2312" w:cs="仿宋"/>
          <w:sz w:val="32"/>
          <w:szCs w:val="32"/>
          <w:lang w:val="en-US" w:eastAsia="zh-CN"/>
        </w:rPr>
        <w:t>17905</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15.</w:t>
      </w:r>
      <w:r>
        <w:rPr>
          <w:rFonts w:hint="eastAsia" w:ascii="仿宋" w:hAnsi="仿宋" w:eastAsia="仿宋_GB2312" w:cs="仿宋"/>
          <w:sz w:val="32"/>
          <w:szCs w:val="32"/>
          <w:lang w:eastAsia="zh-CN"/>
        </w:rPr>
        <w:t>卫生健康</w:t>
      </w:r>
      <w:r>
        <w:rPr>
          <w:rFonts w:hint="eastAsia" w:ascii="仿宋" w:hAnsi="仿宋" w:eastAsia="仿宋_GB2312" w:cs="仿宋"/>
          <w:sz w:val="32"/>
          <w:szCs w:val="32"/>
        </w:rPr>
        <w:t>共同财政事权转移支付收入</w:t>
      </w:r>
      <w:r>
        <w:rPr>
          <w:rFonts w:hint="eastAsia" w:ascii="仿宋" w:hAnsi="仿宋" w:eastAsia="仿宋_GB2312" w:cs="仿宋"/>
          <w:sz w:val="32"/>
          <w:szCs w:val="32"/>
          <w:lang w:val="en-US" w:eastAsia="zh-CN"/>
        </w:rPr>
        <w:t>3542</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16.农林水共同财政事权转移支付收入</w:t>
      </w:r>
      <w:r>
        <w:rPr>
          <w:rFonts w:hint="eastAsia" w:ascii="仿宋" w:hAnsi="仿宋" w:eastAsia="仿宋_GB2312" w:cs="仿宋"/>
          <w:sz w:val="32"/>
          <w:szCs w:val="32"/>
          <w:lang w:val="en-US" w:eastAsia="zh-CN"/>
        </w:rPr>
        <w:t>6318</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17.交通运输共同财政事权转移支付收入</w:t>
      </w:r>
      <w:r>
        <w:rPr>
          <w:rFonts w:hint="eastAsia" w:ascii="仿宋" w:hAnsi="仿宋" w:eastAsia="仿宋_GB2312" w:cs="仿宋"/>
          <w:sz w:val="32"/>
          <w:szCs w:val="32"/>
          <w:lang w:val="en-US" w:eastAsia="zh-CN"/>
        </w:rPr>
        <w:t>250</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hint="eastAsia" w:ascii="仿宋" w:hAnsi="仿宋" w:eastAsia="仿宋_GB2312" w:cs="仿宋"/>
          <w:sz w:val="32"/>
          <w:szCs w:val="32"/>
        </w:rPr>
      </w:pPr>
      <w:r>
        <w:rPr>
          <w:rFonts w:hint="eastAsia" w:ascii="仿宋" w:hAnsi="仿宋" w:eastAsia="仿宋_GB2312" w:cs="仿宋"/>
          <w:sz w:val="32"/>
          <w:szCs w:val="32"/>
        </w:rPr>
        <w:t>18.</w:t>
      </w:r>
      <w:r>
        <w:rPr>
          <w:rFonts w:hint="eastAsia" w:ascii="仿宋" w:hAnsi="仿宋" w:eastAsia="仿宋_GB2312" w:cs="仿宋"/>
          <w:sz w:val="32"/>
          <w:szCs w:val="32"/>
          <w:lang w:val="en-US" w:eastAsia="zh-CN"/>
        </w:rPr>
        <w:t>住房保障</w:t>
      </w:r>
      <w:r>
        <w:rPr>
          <w:rFonts w:hint="eastAsia" w:ascii="仿宋" w:hAnsi="仿宋" w:eastAsia="仿宋_GB2312" w:cs="仿宋"/>
          <w:sz w:val="32"/>
          <w:szCs w:val="32"/>
        </w:rPr>
        <w:t>共同财政事权转移支付收入</w:t>
      </w:r>
      <w:r>
        <w:rPr>
          <w:rFonts w:hint="eastAsia" w:ascii="仿宋" w:hAnsi="仿宋" w:eastAsia="仿宋_GB2312" w:cs="仿宋"/>
          <w:sz w:val="32"/>
          <w:szCs w:val="32"/>
          <w:lang w:val="en-US" w:eastAsia="zh-CN"/>
        </w:rPr>
        <w:t>3</w:t>
      </w:r>
      <w:r>
        <w:rPr>
          <w:rFonts w:hint="eastAsia" w:ascii="仿宋" w:hAnsi="仿宋" w:eastAsia="仿宋_GB2312" w:cs="仿宋"/>
          <w:sz w:val="32"/>
          <w:szCs w:val="32"/>
        </w:rPr>
        <w:t>万元</w:t>
      </w:r>
    </w:p>
    <w:p>
      <w:pPr>
        <w:pageBreakBefore w:val="0"/>
        <w:widowControl w:val="0"/>
        <w:kinsoku/>
        <w:wordWrap/>
        <w:topLinePunct w:val="0"/>
        <w:bidi w:val="0"/>
        <w:spacing w:after="0" w:line="600" w:lineRule="exact"/>
        <w:ind w:firstLine="640" w:firstLineChars="200"/>
        <w:jc w:val="both"/>
        <w:rPr>
          <w:rFonts w:hint="default" w:ascii="仿宋" w:hAnsi="仿宋" w:eastAsia="仿宋_GB2312" w:cs="仿宋"/>
          <w:sz w:val="32"/>
          <w:szCs w:val="32"/>
          <w:lang w:val="en-US"/>
        </w:rPr>
      </w:pPr>
      <w:r>
        <w:rPr>
          <w:rFonts w:hint="eastAsia" w:ascii="仿宋" w:hAnsi="仿宋" w:eastAsia="仿宋_GB2312" w:cs="仿宋"/>
          <w:sz w:val="32"/>
          <w:szCs w:val="32"/>
          <w:lang w:val="en-US" w:eastAsia="zh-CN"/>
        </w:rPr>
        <w:t>19.灾害防治及应急管理共同财政事权转移支付收入34万元</w:t>
      </w:r>
    </w:p>
    <w:p>
      <w:pPr>
        <w:keepNext w:val="0"/>
        <w:keepLines w:val="0"/>
        <w:pageBreakBefore w:val="0"/>
        <w:widowControl/>
        <w:numPr>
          <w:ilvl w:val="0"/>
          <w:numId w:val="0"/>
        </w:numPr>
        <w:pBdr>
          <w:bottom w:val="none" w:color="FFFFFF" w:sz="0" w:space="29"/>
        </w:pBdr>
        <w:kinsoku/>
        <w:wordWrap/>
        <w:overflowPunct w:val="0"/>
        <w:topLinePunct w:val="0"/>
        <w:autoSpaceDE w:val="0"/>
        <w:autoSpaceDN w:val="0"/>
        <w:bidi w:val="0"/>
        <w:adjustRightInd w:val="0"/>
        <w:snapToGrid/>
        <w:spacing w:line="580" w:lineRule="exact"/>
        <w:ind w:left="0" w:leftChars="0" w:right="0" w:rightChars="0" w:firstLine="640" w:firstLineChars="200"/>
        <w:contextualSpacing/>
        <w:jc w:val="both"/>
        <w:textAlignment w:val="baseline"/>
        <w:outlineLvl w:val="9"/>
        <w:rPr>
          <w:rFonts w:hint="eastAsia" w:ascii="仿宋" w:hAnsi="仿宋" w:eastAsia="仿宋_GB2312" w:cs="仿宋"/>
          <w:sz w:val="32"/>
          <w:szCs w:val="32"/>
        </w:rPr>
      </w:pPr>
      <w:r>
        <w:rPr>
          <w:rFonts w:hint="eastAsia" w:ascii="仿宋" w:hAnsi="仿宋" w:eastAsia="仿宋_GB2312" w:cs="仿宋"/>
          <w:sz w:val="32"/>
          <w:szCs w:val="32"/>
          <w:lang w:val="en-US" w:eastAsia="zh-CN"/>
        </w:rPr>
        <w:t>20.</w:t>
      </w:r>
      <w:r>
        <w:rPr>
          <w:rFonts w:hint="eastAsia" w:ascii="仿宋" w:hAnsi="仿宋" w:eastAsia="仿宋_GB2312" w:cs="仿宋"/>
          <w:sz w:val="32"/>
          <w:szCs w:val="32"/>
        </w:rPr>
        <w:t>其他一般性转移支付收入</w:t>
      </w:r>
      <w:r>
        <w:rPr>
          <w:rFonts w:hint="eastAsia" w:ascii="仿宋" w:hAnsi="仿宋" w:eastAsia="仿宋_GB2312" w:cs="仿宋"/>
          <w:sz w:val="32"/>
          <w:szCs w:val="32"/>
          <w:lang w:val="en-US" w:eastAsia="zh-CN"/>
        </w:rPr>
        <w:t>691</w:t>
      </w:r>
      <w:r>
        <w:rPr>
          <w:rFonts w:hint="eastAsia" w:ascii="仿宋" w:hAnsi="仿宋" w:eastAsia="仿宋_GB2312" w:cs="仿宋"/>
          <w:sz w:val="32"/>
          <w:szCs w:val="32"/>
        </w:rPr>
        <w:t>万元</w:t>
      </w:r>
    </w:p>
    <w:p>
      <w:pPr>
        <w:keepNext w:val="0"/>
        <w:keepLines w:val="0"/>
        <w:pageBreakBefore w:val="0"/>
        <w:widowControl/>
        <w:numPr>
          <w:ilvl w:val="0"/>
          <w:numId w:val="0"/>
        </w:numPr>
        <w:pBdr>
          <w:bottom w:val="none" w:color="FFFFFF" w:sz="0" w:space="29"/>
        </w:pBdr>
        <w:kinsoku/>
        <w:wordWrap/>
        <w:overflowPunct w:val="0"/>
        <w:topLinePunct w:val="0"/>
        <w:autoSpaceDE w:val="0"/>
        <w:autoSpaceDN w:val="0"/>
        <w:bidi w:val="0"/>
        <w:adjustRightInd w:val="0"/>
        <w:snapToGrid/>
        <w:spacing w:line="580" w:lineRule="exact"/>
        <w:ind w:left="0" w:leftChars="0" w:right="0" w:rightChars="0" w:firstLine="640" w:firstLineChars="200"/>
        <w:contextualSpacing/>
        <w:jc w:val="both"/>
        <w:textAlignment w:val="baseline"/>
        <w:outlineLvl w:val="9"/>
        <w:rPr>
          <w:rFonts w:ascii="宋体" w:hAnsi="宋体" w:cs="宋体"/>
          <w:sz w:val="36"/>
          <w:szCs w:val="36"/>
        </w:rPr>
      </w:pPr>
      <w:r>
        <w:rPr>
          <w:rFonts w:hint="eastAsia" w:ascii="仿宋" w:hAnsi="仿宋" w:eastAsia="仿宋_GB2312" w:cs="仿宋"/>
          <w:sz w:val="32"/>
          <w:szCs w:val="32"/>
        </w:rPr>
        <w:t>通过规范合理使用一般性转移资金，确保全县公教人员工资的足额发放和机关事业的正常运转，确保重点项目支出，确保一般性转移资金使用安全、高效，发挥最大资金使用效益。</w:t>
      </w:r>
    </w:p>
    <w:p>
      <w:pPr>
        <w:pageBreakBefore w:val="0"/>
        <w:widowControl w:val="0"/>
        <w:kinsoku/>
        <w:wordWrap/>
        <w:topLinePunct w:val="0"/>
        <w:bidi w:val="0"/>
        <w:spacing w:after="0" w:line="600" w:lineRule="exact"/>
        <w:ind w:firstLine="640" w:firstLineChars="200"/>
        <w:jc w:val="both"/>
        <w:rPr>
          <w:rFonts w:ascii="仿宋" w:hAnsi="仿宋" w:eastAsia="仿宋_GB2312" w:cs="仿宋"/>
          <w:sz w:val="32"/>
          <w:szCs w:val="32"/>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both"/>
        <w:rPr>
          <w:rFonts w:ascii="宋体" w:hAnsi="宋体" w:cs="宋体"/>
          <w:sz w:val="36"/>
          <w:szCs w:val="36"/>
        </w:rPr>
      </w:pPr>
    </w:p>
    <w:p>
      <w:pPr>
        <w:pageBreakBefore w:val="0"/>
        <w:kinsoku/>
        <w:wordWrap/>
        <w:topLinePunct w:val="0"/>
        <w:bidi w:val="0"/>
        <w:jc w:val="center"/>
        <w:rPr>
          <w:rFonts w:hint="eastAsia" w:ascii="方正小标宋_GBK" w:hAnsi="方正小标宋_GBK" w:eastAsia="方正小标宋_GBK" w:cs="方正小标宋_GBK"/>
          <w:b w:val="0"/>
          <w:bCs w:val="0"/>
          <w:sz w:val="44"/>
          <w:szCs w:val="44"/>
        </w:rPr>
      </w:pPr>
    </w:p>
    <w:p>
      <w:pPr>
        <w:pageBreakBefore w:val="0"/>
        <w:kinsoku/>
        <w:wordWrap/>
        <w:topLinePunct w:val="0"/>
        <w:bidi w:val="0"/>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深泽县</w:t>
      </w:r>
      <w:r>
        <w:rPr>
          <w:rFonts w:hint="eastAsia" w:ascii="方正小标宋_GBK" w:hAnsi="方正小标宋_GBK" w:eastAsia="方正小标宋_GBK" w:cs="方正小标宋_GBK"/>
          <w:b w:val="0"/>
          <w:bCs w:val="0"/>
          <w:sz w:val="44"/>
          <w:szCs w:val="44"/>
          <w:lang w:eastAsia="zh-CN"/>
        </w:rPr>
        <w:t>202</w:t>
      </w:r>
      <w:r>
        <w:rPr>
          <w:rFonts w:hint="eastAsia" w:ascii="方正小标宋_GBK" w:hAnsi="方正小标宋_GBK" w:eastAsia="方正小标宋_GBK" w:cs="方正小标宋_GBK"/>
          <w:b w:val="0"/>
          <w:bCs w:val="0"/>
          <w:sz w:val="44"/>
          <w:szCs w:val="44"/>
          <w:lang w:val="en-US" w:eastAsia="zh-CN"/>
        </w:rPr>
        <w:t>6</w:t>
      </w:r>
      <w:r>
        <w:rPr>
          <w:rFonts w:hint="eastAsia" w:ascii="方正小标宋_GBK" w:hAnsi="方正小标宋_GBK" w:eastAsia="方正小标宋_GBK" w:cs="方正小标宋_GBK"/>
          <w:b w:val="0"/>
          <w:bCs w:val="0"/>
          <w:sz w:val="44"/>
          <w:szCs w:val="44"/>
          <w:lang w:eastAsia="zh-CN"/>
        </w:rPr>
        <w:t>年</w:t>
      </w:r>
      <w:r>
        <w:rPr>
          <w:rFonts w:hint="eastAsia" w:ascii="方正小标宋_GBK" w:hAnsi="方正小标宋_GBK" w:eastAsia="方正小标宋_GBK" w:cs="方正小标宋_GBK"/>
          <w:b w:val="0"/>
          <w:bCs w:val="0"/>
          <w:sz w:val="44"/>
          <w:szCs w:val="44"/>
        </w:rPr>
        <w:t>政府采购预算情况说明</w:t>
      </w:r>
    </w:p>
    <w:p>
      <w:pPr>
        <w:pageBreakBefore w:val="0"/>
        <w:kinsoku/>
        <w:wordWrap/>
        <w:topLinePunct w:val="0"/>
        <w:bidi w:val="0"/>
        <w:spacing w:after="0" w:line="600" w:lineRule="exact"/>
        <w:ind w:firstLine="640" w:firstLineChars="200"/>
        <w:jc w:val="both"/>
        <w:rPr>
          <w:color w:val="000000"/>
        </w:rPr>
      </w:pPr>
      <w:r>
        <w:rPr>
          <w:rFonts w:hint="eastAsia" w:ascii="仿宋" w:hAnsi="仿宋" w:eastAsia="仿宋_GB2312" w:cs="仿宋_GB2312"/>
          <w:sz w:val="32"/>
          <w:szCs w:val="32"/>
          <w:lang w:eastAsia="zh-CN"/>
        </w:rPr>
        <w:t>202</w:t>
      </w:r>
      <w:r>
        <w:rPr>
          <w:rFonts w:hint="eastAsia" w:ascii="仿宋" w:hAnsi="仿宋" w:eastAsia="仿宋_GB2312" w:cs="仿宋_GB2312"/>
          <w:sz w:val="32"/>
          <w:szCs w:val="32"/>
          <w:lang w:val="en-US" w:eastAsia="zh-CN"/>
        </w:rPr>
        <w:t>6</w:t>
      </w:r>
      <w:r>
        <w:rPr>
          <w:rFonts w:hint="eastAsia" w:ascii="仿宋" w:hAnsi="仿宋" w:eastAsia="仿宋_GB2312" w:cs="仿宋_GB2312"/>
          <w:sz w:val="32"/>
          <w:szCs w:val="32"/>
          <w:lang w:eastAsia="zh-CN"/>
        </w:rPr>
        <w:t>年</w:t>
      </w:r>
      <w:r>
        <w:rPr>
          <w:rFonts w:hint="eastAsia" w:ascii="仿宋" w:hAnsi="仿宋" w:eastAsia="仿宋_GB2312" w:cs="仿宋_GB2312"/>
          <w:sz w:val="32"/>
          <w:szCs w:val="32"/>
        </w:rPr>
        <w:t>，我县认真贯彻《中华人民共和国政府采购法》和《中华人民共和国招标投标法》等法律法规，按要求同步编制政府采购预算，对符合采购目录和政府采购限额标准的，按照“应编尽编、应采尽采”原则，编列政府采购预算。</w:t>
      </w:r>
      <w:r>
        <w:rPr>
          <w:rFonts w:hint="eastAsia" w:ascii="仿宋" w:hAnsi="仿宋" w:eastAsia="仿宋_GB2312" w:cs="仿宋_GB2312"/>
          <w:color w:val="auto"/>
          <w:sz w:val="32"/>
          <w:szCs w:val="32"/>
          <w:lang w:eastAsia="zh-CN"/>
        </w:rPr>
        <w:t>202</w:t>
      </w:r>
      <w:r>
        <w:rPr>
          <w:rFonts w:hint="eastAsia" w:ascii="仿宋" w:hAnsi="仿宋" w:eastAsia="仿宋_GB2312" w:cs="仿宋_GB2312"/>
          <w:color w:val="auto"/>
          <w:sz w:val="32"/>
          <w:szCs w:val="32"/>
          <w:lang w:val="en-US" w:eastAsia="zh-CN"/>
        </w:rPr>
        <w:t>6</w:t>
      </w:r>
      <w:r>
        <w:rPr>
          <w:rFonts w:hint="eastAsia" w:ascii="仿宋" w:hAnsi="仿宋" w:eastAsia="仿宋_GB2312" w:cs="仿宋_GB2312"/>
          <w:color w:val="auto"/>
          <w:sz w:val="32"/>
          <w:szCs w:val="32"/>
          <w:lang w:eastAsia="zh-CN"/>
        </w:rPr>
        <w:t>年</w:t>
      </w:r>
      <w:r>
        <w:rPr>
          <w:rFonts w:hint="eastAsia" w:ascii="仿宋" w:hAnsi="仿宋" w:eastAsia="仿宋_GB2312" w:cs="仿宋_GB2312"/>
          <w:color w:val="auto"/>
          <w:sz w:val="32"/>
          <w:szCs w:val="32"/>
        </w:rPr>
        <w:t>政府采购预算资金</w:t>
      </w:r>
      <w:r>
        <w:rPr>
          <w:rFonts w:hint="eastAsia" w:ascii="仿宋" w:hAnsi="仿宋" w:eastAsia="仿宋_GB2312" w:cs="仿宋_GB2312"/>
          <w:color w:val="auto"/>
          <w:sz w:val="32"/>
          <w:szCs w:val="32"/>
          <w:lang w:val="en-US" w:eastAsia="zh-CN"/>
        </w:rPr>
        <w:t>18209</w:t>
      </w:r>
      <w:r>
        <w:rPr>
          <w:rFonts w:hint="eastAsia" w:ascii="仿宋" w:hAnsi="仿宋" w:eastAsia="仿宋_GB2312" w:cs="仿宋_GB2312"/>
          <w:color w:val="auto"/>
          <w:sz w:val="32"/>
          <w:szCs w:val="32"/>
        </w:rPr>
        <w:t>万元，按采购类别分：货物类</w:t>
      </w:r>
      <w:r>
        <w:rPr>
          <w:rFonts w:hint="eastAsia" w:ascii="仿宋" w:hAnsi="仿宋" w:eastAsia="仿宋_GB2312" w:cs="仿宋_GB2312"/>
          <w:color w:val="auto"/>
          <w:sz w:val="32"/>
          <w:szCs w:val="32"/>
          <w:lang w:val="en-US" w:eastAsia="zh-CN"/>
        </w:rPr>
        <w:t>5619</w:t>
      </w:r>
      <w:r>
        <w:rPr>
          <w:rFonts w:hint="eastAsia" w:ascii="仿宋" w:hAnsi="仿宋" w:eastAsia="仿宋_GB2312" w:cs="仿宋_GB2312"/>
          <w:color w:val="auto"/>
          <w:sz w:val="32"/>
          <w:szCs w:val="32"/>
        </w:rPr>
        <w:t>万元，工程类</w:t>
      </w:r>
      <w:r>
        <w:rPr>
          <w:rFonts w:hint="eastAsia" w:ascii="仿宋" w:hAnsi="仿宋" w:eastAsia="仿宋_GB2312" w:cs="仿宋_GB2312"/>
          <w:color w:val="auto"/>
          <w:sz w:val="32"/>
          <w:szCs w:val="32"/>
          <w:lang w:val="en-US" w:eastAsia="zh-CN"/>
        </w:rPr>
        <w:t>12377</w:t>
      </w:r>
      <w:r>
        <w:rPr>
          <w:rFonts w:hint="eastAsia" w:ascii="仿宋" w:hAnsi="仿宋" w:eastAsia="仿宋_GB2312" w:cs="仿宋_GB2312"/>
          <w:color w:val="auto"/>
          <w:sz w:val="32"/>
          <w:szCs w:val="32"/>
        </w:rPr>
        <w:t>万元，服务类</w:t>
      </w:r>
      <w:r>
        <w:rPr>
          <w:rFonts w:hint="eastAsia" w:ascii="仿宋" w:hAnsi="仿宋" w:eastAsia="仿宋_GB2312" w:cs="仿宋_GB2312"/>
          <w:color w:val="auto"/>
          <w:sz w:val="32"/>
          <w:szCs w:val="32"/>
          <w:lang w:val="en-US" w:eastAsia="zh-CN"/>
        </w:rPr>
        <w:t>213</w:t>
      </w:r>
      <w:r>
        <w:rPr>
          <w:rFonts w:hint="eastAsia" w:ascii="仿宋" w:hAnsi="仿宋" w:eastAsia="仿宋_GB2312" w:cs="仿宋_GB2312"/>
          <w:color w:val="auto"/>
          <w:sz w:val="32"/>
          <w:szCs w:val="32"/>
        </w:rPr>
        <w:t>万元。按资金来源性质分：一般公共预算拨款安排</w:t>
      </w:r>
      <w:r>
        <w:rPr>
          <w:rFonts w:hint="eastAsia" w:ascii="仿宋" w:hAnsi="仿宋" w:eastAsia="仿宋_GB2312" w:cs="仿宋_GB2312"/>
          <w:color w:val="auto"/>
          <w:sz w:val="32"/>
          <w:szCs w:val="32"/>
          <w:lang w:val="en-US" w:eastAsia="zh-CN"/>
        </w:rPr>
        <w:t>10425</w:t>
      </w:r>
      <w:r>
        <w:rPr>
          <w:rFonts w:hint="eastAsia" w:ascii="仿宋" w:hAnsi="仿宋" w:eastAsia="仿宋_GB2312" w:cs="仿宋_GB2312"/>
          <w:color w:val="auto"/>
          <w:sz w:val="32"/>
          <w:szCs w:val="32"/>
        </w:rPr>
        <w:t>万元</w:t>
      </w:r>
      <w:r>
        <w:rPr>
          <w:rFonts w:hint="eastAsia" w:ascii="仿宋" w:hAnsi="仿宋" w:eastAsia="仿宋_GB2312" w:cs="仿宋_GB2312"/>
          <w:color w:val="auto"/>
          <w:sz w:val="32"/>
          <w:szCs w:val="32"/>
          <w:lang w:eastAsia="zh-CN"/>
        </w:rPr>
        <w:t>，政府性基金预算拨款安排</w:t>
      </w:r>
      <w:r>
        <w:rPr>
          <w:rFonts w:hint="eastAsia" w:ascii="仿宋" w:hAnsi="仿宋" w:eastAsia="仿宋_GB2312" w:cs="仿宋_GB2312"/>
          <w:color w:val="auto"/>
          <w:sz w:val="32"/>
          <w:szCs w:val="32"/>
          <w:lang w:val="en-US" w:eastAsia="zh-CN"/>
        </w:rPr>
        <w:t>7784万元</w:t>
      </w:r>
      <w:r>
        <w:rPr>
          <w:rFonts w:hint="eastAsia" w:ascii="仿宋" w:hAnsi="仿宋" w:eastAsia="仿宋_GB2312" w:cs="仿宋_GB2312"/>
          <w:color w:val="auto"/>
          <w:sz w:val="32"/>
          <w:szCs w:val="32"/>
        </w:rPr>
        <w:t>。</w:t>
      </w:r>
      <w:r>
        <w:rPr>
          <w:rFonts w:hint="eastAsia" w:ascii="仿宋" w:hAnsi="仿宋" w:eastAsia="仿宋_GB2312" w:cs="仿宋_GB2312"/>
          <w:color w:val="auto"/>
          <w:sz w:val="32"/>
          <w:szCs w:val="32"/>
          <w:lang w:eastAsia="zh-CN"/>
        </w:rPr>
        <w:t>2025年</w:t>
      </w:r>
      <w:r>
        <w:rPr>
          <w:rFonts w:hint="eastAsia" w:ascii="仿宋" w:hAnsi="仿宋" w:eastAsia="仿宋_GB2312" w:cs="仿宋_GB2312"/>
          <w:color w:val="auto"/>
          <w:sz w:val="32"/>
          <w:szCs w:val="32"/>
        </w:rPr>
        <w:t>县级政府采购限额标准为：单项或批量采购预算金额</w:t>
      </w:r>
      <w:r>
        <w:rPr>
          <w:rFonts w:hint="eastAsia" w:ascii="仿宋" w:hAnsi="仿宋" w:eastAsia="仿宋_GB2312" w:cs="仿宋_GB2312"/>
          <w:color w:val="auto"/>
          <w:sz w:val="32"/>
          <w:szCs w:val="32"/>
          <w:lang w:eastAsia="zh-CN"/>
        </w:rPr>
        <w:t>货物和服务</w:t>
      </w:r>
      <w:r>
        <w:rPr>
          <w:rFonts w:hint="eastAsia" w:ascii="仿宋" w:hAnsi="仿宋" w:eastAsia="仿宋_GB2312" w:cs="仿宋_GB2312"/>
          <w:color w:val="auto"/>
          <w:sz w:val="32"/>
          <w:szCs w:val="32"/>
        </w:rPr>
        <w:t>达到</w:t>
      </w:r>
      <w:r>
        <w:rPr>
          <w:rFonts w:hint="eastAsia" w:ascii="仿宋" w:hAnsi="仿宋" w:eastAsia="仿宋_GB2312" w:cs="仿宋_GB2312"/>
          <w:color w:val="auto"/>
          <w:sz w:val="32"/>
          <w:szCs w:val="32"/>
          <w:lang w:val="en-US" w:eastAsia="zh-CN"/>
        </w:rPr>
        <w:t>30</w:t>
      </w:r>
      <w:r>
        <w:rPr>
          <w:rFonts w:hint="eastAsia" w:ascii="仿宋" w:hAnsi="仿宋" w:eastAsia="仿宋_GB2312" w:cs="仿宋_GB2312"/>
          <w:color w:val="auto"/>
          <w:sz w:val="32"/>
          <w:szCs w:val="32"/>
        </w:rPr>
        <w:t>万元（含）</w:t>
      </w:r>
      <w:r>
        <w:rPr>
          <w:rFonts w:hint="eastAsia" w:ascii="仿宋" w:hAnsi="仿宋" w:eastAsia="仿宋_GB2312" w:cs="仿宋_GB2312"/>
          <w:color w:val="auto"/>
          <w:sz w:val="32"/>
          <w:szCs w:val="32"/>
          <w:lang w:eastAsia="zh-CN"/>
        </w:rPr>
        <w:t>、工程达到</w:t>
      </w:r>
      <w:r>
        <w:rPr>
          <w:rFonts w:hint="eastAsia" w:ascii="仿宋" w:hAnsi="仿宋" w:eastAsia="仿宋_GB2312" w:cs="仿宋_GB2312"/>
          <w:color w:val="auto"/>
          <w:sz w:val="32"/>
          <w:szCs w:val="32"/>
          <w:lang w:val="en-US" w:eastAsia="zh-CN"/>
        </w:rPr>
        <w:t>60万元</w:t>
      </w:r>
      <w:r>
        <w:rPr>
          <w:rFonts w:hint="eastAsia" w:ascii="仿宋" w:hAnsi="仿宋" w:eastAsia="仿宋_GB2312" w:cs="仿宋_GB2312"/>
          <w:color w:val="auto"/>
          <w:sz w:val="32"/>
          <w:szCs w:val="32"/>
        </w:rPr>
        <w:t>（含）</w:t>
      </w:r>
      <w:r>
        <w:rPr>
          <w:rFonts w:hint="eastAsia" w:ascii="仿宋" w:hAnsi="仿宋" w:eastAsia="仿宋_GB2312" w:cs="仿宋_GB2312"/>
          <w:color w:val="auto"/>
          <w:sz w:val="32"/>
          <w:szCs w:val="32"/>
          <w:lang w:val="en-US" w:eastAsia="zh-CN"/>
        </w:rPr>
        <w:t>以上的，</w:t>
      </w:r>
      <w:r>
        <w:rPr>
          <w:rFonts w:hint="eastAsia" w:ascii="仿宋" w:hAnsi="仿宋" w:eastAsia="仿宋_GB2312" w:cs="仿宋_GB2312"/>
          <w:color w:val="auto"/>
          <w:sz w:val="32"/>
          <w:szCs w:val="32"/>
        </w:rPr>
        <w:t>进行政府采购；公开招标限额标准</w:t>
      </w:r>
      <w:r>
        <w:rPr>
          <w:rFonts w:hint="eastAsia" w:ascii="仿宋" w:hAnsi="仿宋" w:eastAsia="仿宋_GB2312" w:cs="仿宋_GB2312"/>
          <w:color w:val="auto"/>
          <w:sz w:val="32"/>
          <w:szCs w:val="32"/>
          <w:lang w:eastAsia="zh-CN"/>
        </w:rPr>
        <w:t>货物和服务</w:t>
      </w:r>
      <w:r>
        <w:rPr>
          <w:rFonts w:hint="eastAsia" w:ascii="仿宋" w:hAnsi="仿宋" w:eastAsia="仿宋_GB2312" w:cs="仿宋_GB2312"/>
          <w:color w:val="auto"/>
          <w:sz w:val="32"/>
          <w:szCs w:val="32"/>
          <w:lang w:val="en-US" w:eastAsia="zh-CN"/>
        </w:rPr>
        <w:t>2</w:t>
      </w:r>
      <w:r>
        <w:rPr>
          <w:rFonts w:hint="eastAsia" w:ascii="仿宋" w:hAnsi="仿宋" w:eastAsia="仿宋_GB2312" w:cs="仿宋_GB2312"/>
          <w:color w:val="auto"/>
          <w:sz w:val="32"/>
          <w:szCs w:val="32"/>
        </w:rPr>
        <w:t>00万元</w:t>
      </w:r>
      <w:r>
        <w:rPr>
          <w:rFonts w:hint="eastAsia" w:ascii="仿宋" w:hAnsi="仿宋" w:eastAsia="仿宋_GB2312" w:cs="仿宋_GB2312"/>
          <w:color w:val="auto"/>
          <w:sz w:val="32"/>
          <w:szCs w:val="32"/>
          <w:lang w:eastAsia="zh-CN"/>
        </w:rPr>
        <w:t>、工程</w:t>
      </w:r>
      <w:r>
        <w:rPr>
          <w:rFonts w:hint="eastAsia" w:ascii="仿宋" w:hAnsi="仿宋" w:eastAsia="仿宋_GB2312" w:cs="仿宋_GB2312"/>
          <w:color w:val="auto"/>
          <w:sz w:val="32"/>
          <w:szCs w:val="32"/>
          <w:lang w:val="en-US" w:eastAsia="zh-CN"/>
        </w:rPr>
        <w:t>400万元</w:t>
      </w:r>
      <w:r>
        <w:rPr>
          <w:rFonts w:hint="eastAsia" w:ascii="仿宋" w:hAnsi="仿宋" w:eastAsia="仿宋_GB2312" w:cs="仿宋_GB2312"/>
          <w:color w:val="auto"/>
          <w:sz w:val="32"/>
          <w:szCs w:val="32"/>
        </w:rPr>
        <w:t>。</w:t>
      </w:r>
    </w:p>
    <w:p>
      <w:pPr>
        <w:pStyle w:val="2"/>
        <w:keepNext w:val="0"/>
        <w:keepLines w:val="0"/>
        <w:pageBreakBefore w:val="0"/>
        <w:kinsoku/>
        <w:wordWrap/>
        <w:topLinePunct w:val="0"/>
        <w:bidi w:val="0"/>
        <w:spacing w:line="240" w:lineRule="auto"/>
        <w:jc w:val="both"/>
        <w:rPr>
          <w:rFonts w:ascii="宋体" w:hAnsi="宋体"/>
        </w:rPr>
      </w:pPr>
      <w:bookmarkStart w:id="0" w:name="_Toc377280980"/>
      <w:bookmarkStart w:id="1" w:name="_Toc440095395"/>
      <w:bookmarkStart w:id="2" w:name="_Toc409082541"/>
    </w:p>
    <w:p>
      <w:pPr>
        <w:pageBreakBefore w:val="0"/>
        <w:kinsoku/>
        <w:wordWrap/>
        <w:topLinePunct w:val="0"/>
        <w:bidi w:val="0"/>
        <w:jc w:val="both"/>
        <w:rPr>
          <w:rFonts w:ascii="宋体" w:hAnsi="宋体"/>
        </w:rPr>
      </w:pPr>
    </w:p>
    <w:p>
      <w:pPr>
        <w:pStyle w:val="2"/>
        <w:keepNext w:val="0"/>
        <w:keepLines w:val="0"/>
        <w:pageBreakBefore w:val="0"/>
        <w:kinsoku/>
        <w:wordWrap/>
        <w:topLinePunct w:val="0"/>
        <w:bidi w:val="0"/>
        <w:spacing w:line="240" w:lineRule="auto"/>
        <w:jc w:val="both"/>
        <w:rPr>
          <w:rFonts w:ascii="宋体" w:hAnsi="宋体" w:eastAsia="宋体" w:cs="宋体"/>
        </w:rPr>
      </w:pPr>
    </w:p>
    <w:p>
      <w:pPr>
        <w:pageBreakBefore w:val="0"/>
        <w:kinsoku/>
        <w:wordWrap/>
        <w:topLinePunct w:val="0"/>
        <w:bidi w:val="0"/>
        <w:jc w:val="both"/>
        <w:rPr>
          <w:rFonts w:ascii="宋体" w:hAnsi="宋体" w:eastAsia="宋体" w:cs="宋体"/>
        </w:rPr>
      </w:pPr>
    </w:p>
    <w:p>
      <w:pPr>
        <w:pageBreakBefore w:val="0"/>
        <w:kinsoku/>
        <w:wordWrap/>
        <w:topLinePunct w:val="0"/>
        <w:bidi w:val="0"/>
        <w:jc w:val="both"/>
        <w:rPr>
          <w:rFonts w:ascii="宋体" w:hAnsi="宋体" w:eastAsia="宋体" w:cs="宋体"/>
        </w:rPr>
      </w:pPr>
    </w:p>
    <w:p>
      <w:pPr>
        <w:pageBreakBefore w:val="0"/>
        <w:kinsoku/>
        <w:wordWrap/>
        <w:topLinePunct w:val="0"/>
        <w:bidi w:val="0"/>
        <w:jc w:val="both"/>
        <w:rPr>
          <w:rFonts w:ascii="宋体" w:hAnsi="宋体" w:eastAsia="宋体" w:cs="宋体"/>
        </w:rPr>
      </w:pPr>
    </w:p>
    <w:p>
      <w:pPr>
        <w:pageBreakBefore w:val="0"/>
        <w:kinsoku/>
        <w:wordWrap/>
        <w:topLinePunct w:val="0"/>
        <w:bidi w:val="0"/>
        <w:jc w:val="both"/>
        <w:rPr>
          <w:rFonts w:ascii="宋体" w:hAnsi="宋体" w:eastAsia="宋体" w:cs="宋体"/>
        </w:rPr>
      </w:pPr>
    </w:p>
    <w:p>
      <w:pPr>
        <w:pageBreakBefore w:val="0"/>
        <w:kinsoku/>
        <w:wordWrap/>
        <w:topLinePunct w:val="0"/>
        <w:bidi w:val="0"/>
        <w:jc w:val="both"/>
        <w:rPr>
          <w:rFonts w:ascii="宋体" w:hAnsi="宋体" w:eastAsia="宋体" w:cs="宋体"/>
        </w:rPr>
      </w:pPr>
    </w:p>
    <w:p>
      <w:pPr>
        <w:pageBreakBefore w:val="0"/>
        <w:kinsoku/>
        <w:wordWrap/>
        <w:topLinePunct w:val="0"/>
        <w:bidi w:val="0"/>
        <w:jc w:val="both"/>
        <w:rPr>
          <w:rFonts w:ascii="宋体" w:hAnsi="宋体" w:eastAsia="宋体" w:cs="宋体"/>
        </w:rPr>
      </w:pPr>
    </w:p>
    <w:p>
      <w:pPr>
        <w:pageBreakBefore w:val="0"/>
        <w:kinsoku/>
        <w:wordWrap/>
        <w:topLinePunct w:val="0"/>
        <w:bidi w:val="0"/>
        <w:jc w:val="both"/>
        <w:rPr>
          <w:rFonts w:ascii="宋体" w:hAnsi="宋体" w:eastAsia="宋体" w:cs="宋体"/>
        </w:rPr>
      </w:pPr>
    </w:p>
    <w:p>
      <w:pPr>
        <w:pStyle w:val="2"/>
        <w:keepNext w:val="0"/>
        <w:keepLines w:val="0"/>
        <w:pageBreakBefore w:val="0"/>
        <w:kinsoku/>
        <w:wordWrap/>
        <w:topLinePunct w:val="0"/>
        <w:bidi w:val="0"/>
        <w:spacing w:line="240" w:lineRule="auto"/>
        <w:jc w:val="center"/>
        <w:rPr>
          <w:rFonts w:hint="eastAsia" w:ascii="方正小标宋_GBK" w:hAnsi="方正小标宋_GBK" w:eastAsia="方正小标宋_GBK" w:cs="方正小标宋_GBK"/>
          <w:b w:val="0"/>
          <w:bCs w:val="0"/>
        </w:rPr>
      </w:pPr>
      <w:r>
        <w:rPr>
          <w:rFonts w:hint="eastAsia" w:ascii="方正小标宋_GBK" w:hAnsi="方正小标宋_GBK" w:eastAsia="方正小标宋_GBK" w:cs="方正小标宋_GBK"/>
          <w:b w:val="0"/>
          <w:bCs w:val="0"/>
        </w:rPr>
        <w:t>深泽县</w:t>
      </w:r>
      <w:r>
        <w:rPr>
          <w:rFonts w:hint="eastAsia" w:ascii="方正小标宋_GBK" w:hAnsi="方正小标宋_GBK" w:eastAsia="方正小标宋_GBK" w:cs="方正小标宋_GBK"/>
          <w:b w:val="0"/>
          <w:bCs w:val="0"/>
          <w:lang w:eastAsia="zh-CN"/>
        </w:rPr>
        <w:t>202</w:t>
      </w:r>
      <w:r>
        <w:rPr>
          <w:rFonts w:hint="eastAsia" w:ascii="方正小标宋_GBK" w:hAnsi="方正小标宋_GBK" w:eastAsia="方正小标宋_GBK" w:cs="方正小标宋_GBK"/>
          <w:b w:val="0"/>
          <w:bCs w:val="0"/>
          <w:lang w:val="en-US" w:eastAsia="zh-CN"/>
        </w:rPr>
        <w:t>6</w:t>
      </w:r>
      <w:r>
        <w:rPr>
          <w:rFonts w:hint="eastAsia" w:ascii="方正小标宋_GBK" w:hAnsi="方正小标宋_GBK" w:eastAsia="方正小标宋_GBK" w:cs="方正小标宋_GBK"/>
          <w:b w:val="0"/>
          <w:bCs w:val="0"/>
          <w:lang w:eastAsia="zh-CN"/>
        </w:rPr>
        <w:t>年</w:t>
      </w:r>
      <w:r>
        <w:rPr>
          <w:rFonts w:hint="eastAsia" w:ascii="方正小标宋_GBK" w:hAnsi="方正小标宋_GBK" w:eastAsia="方正小标宋_GBK" w:cs="方正小标宋_GBK"/>
          <w:b w:val="0"/>
          <w:bCs w:val="0"/>
        </w:rPr>
        <w:t>预算绩效工作开展情况说明</w:t>
      </w:r>
      <w:bookmarkEnd w:id="0"/>
      <w:bookmarkEnd w:id="1"/>
      <w:bookmarkEnd w:id="2"/>
    </w:p>
    <w:p>
      <w:pPr>
        <w:pageBreakBefore w:val="0"/>
        <w:kinsoku/>
        <w:wordWrap/>
        <w:topLinePunct w:val="0"/>
        <w:bidi w:val="0"/>
        <w:spacing w:before="0" w:beforeLines="0" w:after="0" w:afterLines="0" w:line="580" w:lineRule="exact"/>
        <w:ind w:left="0" w:leftChars="0" w:right="0" w:rightChars="0" w:firstLine="640" w:firstLineChars="200"/>
        <w:jc w:val="both"/>
        <w:rPr>
          <w:rFonts w:hint="eastAsia" w:ascii="仿宋" w:hAnsi="仿宋" w:eastAsia="仿宋_GB2312"/>
          <w:sz w:val="32"/>
          <w:szCs w:val="32"/>
          <w:highlight w:val="none"/>
        </w:rPr>
      </w:pPr>
      <w:r>
        <w:rPr>
          <w:rFonts w:hint="eastAsia" w:ascii="仿宋" w:hAnsi="仿宋" w:eastAsia="仿宋_GB2312"/>
          <w:sz w:val="32"/>
          <w:szCs w:val="32"/>
          <w:highlight w:val="none"/>
        </w:rPr>
        <w:t>全面实施预算绩效管理</w:t>
      </w:r>
      <w:r>
        <w:rPr>
          <w:rFonts w:hint="eastAsia" w:ascii="仿宋" w:hAnsi="仿宋" w:eastAsia="仿宋_GB2312"/>
          <w:sz w:val="32"/>
          <w:szCs w:val="32"/>
          <w:highlight w:val="none"/>
          <w:lang w:val="en-US" w:eastAsia="zh-CN"/>
        </w:rPr>
        <w:t>是党中央、国务院作出的重大战略部署。中共中央、国务院《关于全面实施预算绩效管理的意见》提出“</w:t>
      </w:r>
      <w:r>
        <w:rPr>
          <w:rFonts w:hint="eastAsia" w:ascii="仿宋" w:hAnsi="仿宋" w:eastAsia="仿宋_GB2312"/>
          <w:sz w:val="32"/>
          <w:szCs w:val="32"/>
          <w:highlight w:val="none"/>
        </w:rPr>
        <w:t>全面实施预算绩效</w:t>
      </w:r>
      <w:r>
        <w:rPr>
          <w:rFonts w:hint="eastAsia" w:ascii="仿宋" w:hAnsi="仿宋" w:eastAsia="仿宋_GB2312"/>
          <w:sz w:val="32"/>
          <w:szCs w:val="32"/>
          <w:highlight w:val="none"/>
          <w:lang w:val="en-US" w:eastAsia="zh-CN"/>
        </w:rPr>
        <w:t>管理是推动国家治理体系和治理能力现代化的内在要求，是深化财税体制改革、建立现代财政制度的重要内容，是优化财政资源配置、提升公共服务质量的关键举措，是推动党中央、国务院重大方针政策落地见效的重要保障。”</w:t>
      </w:r>
      <w:r>
        <w:rPr>
          <w:rFonts w:hint="eastAsia" w:ascii="仿宋" w:hAnsi="仿宋" w:eastAsia="仿宋_GB2312"/>
          <w:sz w:val="32"/>
          <w:szCs w:val="32"/>
          <w:highlight w:val="none"/>
        </w:rPr>
        <w:t>《</w:t>
      </w:r>
      <w:r>
        <w:rPr>
          <w:rFonts w:hint="eastAsia" w:ascii="仿宋" w:hAnsi="仿宋" w:eastAsia="仿宋_GB2312"/>
          <w:sz w:val="32"/>
          <w:szCs w:val="32"/>
          <w:highlight w:val="none"/>
          <w:lang w:val="en-US" w:eastAsia="zh-CN"/>
        </w:rPr>
        <w:t>中华人民共和国</w:t>
      </w:r>
      <w:r>
        <w:rPr>
          <w:rFonts w:hint="eastAsia" w:ascii="仿宋" w:hAnsi="仿宋" w:eastAsia="仿宋_GB2312"/>
          <w:sz w:val="32"/>
          <w:szCs w:val="32"/>
          <w:highlight w:val="none"/>
        </w:rPr>
        <w:t>预算法》规定“各部门、各单位应当按照国务院财政部门制定的政府收支分类科目、预算支出标准和要求，以及绩效目标管理等预算编制规定，根据其依法履行职能和事业发展的需要以及存量资产情况，编制本部门、本单位预算草案”。</w:t>
      </w:r>
    </w:p>
    <w:p>
      <w:pPr>
        <w:pageBreakBefore w:val="0"/>
        <w:kinsoku/>
        <w:wordWrap/>
        <w:topLinePunct w:val="0"/>
        <w:bidi w:val="0"/>
        <w:spacing w:before="0" w:beforeLines="0" w:after="0" w:afterLines="0" w:line="580" w:lineRule="exact"/>
        <w:ind w:left="0" w:leftChars="0" w:right="0" w:rightChars="0" w:firstLine="640" w:firstLineChars="200"/>
        <w:jc w:val="both"/>
        <w:rPr>
          <w:rFonts w:hint="eastAsia" w:ascii="仿宋" w:hAnsi="仿宋" w:eastAsia="仿宋_GB2312"/>
          <w:sz w:val="32"/>
          <w:szCs w:val="32"/>
          <w:highlight w:val="none"/>
        </w:rPr>
      </w:pPr>
      <w:r>
        <w:rPr>
          <w:rFonts w:hint="eastAsia" w:ascii="仿宋" w:hAnsi="仿宋" w:eastAsia="仿宋_GB2312"/>
          <w:sz w:val="32"/>
          <w:szCs w:val="32"/>
          <w:highlight w:val="none"/>
        </w:rPr>
        <w:t>为</w:t>
      </w:r>
      <w:r>
        <w:rPr>
          <w:rFonts w:hint="eastAsia" w:ascii="仿宋" w:hAnsi="仿宋" w:eastAsia="仿宋_GB2312"/>
          <w:sz w:val="32"/>
          <w:szCs w:val="32"/>
          <w:highlight w:val="none"/>
          <w:lang w:val="en-US" w:eastAsia="zh-CN"/>
        </w:rPr>
        <w:t>更好</w:t>
      </w:r>
      <w:r>
        <w:rPr>
          <w:rFonts w:hint="eastAsia" w:ascii="仿宋" w:hAnsi="仿宋" w:eastAsia="仿宋_GB2312"/>
          <w:sz w:val="32"/>
          <w:szCs w:val="32"/>
          <w:highlight w:val="none"/>
        </w:rPr>
        <w:t>落实</w:t>
      </w:r>
      <w:r>
        <w:rPr>
          <w:rFonts w:hint="eastAsia" w:ascii="仿宋" w:hAnsi="仿宋" w:eastAsia="仿宋_GB2312"/>
          <w:sz w:val="32"/>
          <w:szCs w:val="32"/>
          <w:highlight w:val="none"/>
          <w:lang w:val="en-US" w:eastAsia="zh-CN"/>
        </w:rPr>
        <w:t>中共中央、国务院《关于全面实施预算绩效管理的意见》</w:t>
      </w:r>
      <w:r>
        <w:rPr>
          <w:rFonts w:hint="eastAsia" w:ascii="仿宋" w:hAnsi="仿宋" w:eastAsia="仿宋_GB2312"/>
          <w:sz w:val="32"/>
          <w:szCs w:val="32"/>
          <w:highlight w:val="none"/>
        </w:rPr>
        <w:t>《</w:t>
      </w:r>
      <w:r>
        <w:rPr>
          <w:rFonts w:hint="eastAsia" w:ascii="仿宋" w:hAnsi="仿宋" w:eastAsia="仿宋_GB2312"/>
          <w:sz w:val="32"/>
          <w:szCs w:val="32"/>
          <w:highlight w:val="none"/>
          <w:lang w:val="en-US" w:eastAsia="zh-CN"/>
        </w:rPr>
        <w:t>中华人民共和国</w:t>
      </w:r>
      <w:r>
        <w:rPr>
          <w:rFonts w:hint="eastAsia" w:ascii="仿宋" w:hAnsi="仿宋" w:eastAsia="仿宋_GB2312"/>
          <w:sz w:val="32"/>
          <w:szCs w:val="32"/>
          <w:highlight w:val="none"/>
        </w:rPr>
        <w:t>预算法》</w:t>
      </w:r>
      <w:r>
        <w:rPr>
          <w:rFonts w:hint="eastAsia" w:ascii="仿宋" w:hAnsi="仿宋" w:eastAsia="仿宋_GB2312"/>
          <w:sz w:val="32"/>
          <w:szCs w:val="32"/>
          <w:highlight w:val="none"/>
          <w:lang w:val="en-US" w:eastAsia="zh-CN"/>
        </w:rPr>
        <w:t>《关于进一步深化预算管理改革的实施意见》</w:t>
      </w:r>
      <w:r>
        <w:rPr>
          <w:rFonts w:hint="eastAsia" w:ascii="仿宋" w:hAnsi="仿宋" w:eastAsia="仿宋_GB2312"/>
          <w:sz w:val="32"/>
          <w:szCs w:val="32"/>
          <w:highlight w:val="none"/>
        </w:rPr>
        <w:t>《</w:t>
      </w:r>
      <w:r>
        <w:rPr>
          <w:rFonts w:hint="eastAsia" w:ascii="仿宋" w:hAnsi="仿宋" w:eastAsia="仿宋_GB2312"/>
          <w:sz w:val="32"/>
          <w:szCs w:val="32"/>
          <w:highlight w:val="none"/>
          <w:lang w:val="en-US" w:eastAsia="zh-CN"/>
        </w:rPr>
        <w:t>中华人民共和国</w:t>
      </w:r>
      <w:r>
        <w:rPr>
          <w:rFonts w:hint="eastAsia" w:ascii="仿宋" w:hAnsi="仿宋" w:eastAsia="仿宋_GB2312"/>
          <w:sz w:val="32"/>
          <w:szCs w:val="32"/>
          <w:highlight w:val="none"/>
        </w:rPr>
        <w:t>预算法实施条例》相关规定，按照顶层设计和统一部署</w:t>
      </w:r>
      <w:r>
        <w:rPr>
          <w:rFonts w:hint="eastAsia" w:ascii="仿宋" w:hAnsi="仿宋" w:eastAsia="仿宋_GB2312"/>
          <w:sz w:val="32"/>
          <w:highlight w:val="none"/>
        </w:rPr>
        <w:t>，</w:t>
      </w:r>
      <w:r>
        <w:rPr>
          <w:rFonts w:hint="eastAsia" w:ascii="仿宋" w:hAnsi="仿宋" w:eastAsia="仿宋_GB2312"/>
          <w:sz w:val="32"/>
          <w:szCs w:val="32"/>
          <w:highlight w:val="none"/>
        </w:rPr>
        <w:t>在</w:t>
      </w:r>
      <w:r>
        <w:rPr>
          <w:rFonts w:hint="eastAsia" w:ascii="仿宋" w:hAnsi="仿宋" w:eastAsia="仿宋_GB2312"/>
          <w:sz w:val="32"/>
          <w:szCs w:val="32"/>
          <w:highlight w:val="none"/>
          <w:lang w:eastAsia="zh-CN"/>
        </w:rPr>
        <w:t>202</w:t>
      </w:r>
      <w:r>
        <w:rPr>
          <w:rFonts w:hint="eastAsia" w:ascii="仿宋" w:hAnsi="仿宋" w:eastAsia="仿宋_GB2312"/>
          <w:sz w:val="32"/>
          <w:szCs w:val="32"/>
          <w:highlight w:val="none"/>
          <w:lang w:val="en-US" w:eastAsia="zh-CN"/>
        </w:rPr>
        <w:t>6</w:t>
      </w:r>
      <w:r>
        <w:rPr>
          <w:rFonts w:hint="eastAsia" w:ascii="仿宋" w:hAnsi="仿宋" w:eastAsia="仿宋_GB2312"/>
          <w:sz w:val="32"/>
          <w:szCs w:val="32"/>
          <w:highlight w:val="none"/>
          <w:lang w:eastAsia="zh-CN"/>
        </w:rPr>
        <w:t>年</w:t>
      </w:r>
      <w:r>
        <w:rPr>
          <w:rFonts w:hint="eastAsia" w:ascii="仿宋" w:hAnsi="仿宋" w:eastAsia="仿宋_GB2312"/>
          <w:sz w:val="32"/>
          <w:szCs w:val="32"/>
          <w:highlight w:val="none"/>
        </w:rPr>
        <w:t>预算编制过程中，围绕建立“预算编制有目标、预算执行有监控、预算完成有评价、评价结果有反馈、反馈结果有应用”的预算绩效管理机制，统筹规划、强化措施、创新机制，全面实施预算绩效管理，建成全方位、全过程、全覆盖的预算绩效管理体系，以绩效目标为引领，进一步规范预算绩效编制，编制质量不断提高。</w:t>
      </w:r>
    </w:p>
    <w:p>
      <w:pPr>
        <w:pageBreakBefore w:val="0"/>
        <w:kinsoku/>
        <w:wordWrap/>
        <w:topLinePunct w:val="0"/>
        <w:bidi w:val="0"/>
        <w:spacing w:before="0" w:beforeLines="0" w:after="0" w:afterLines="0" w:line="580" w:lineRule="exact"/>
        <w:ind w:left="0" w:leftChars="0" w:right="0" w:rightChars="0" w:firstLine="640" w:firstLineChars="200"/>
        <w:jc w:val="both"/>
        <w:rPr>
          <w:rFonts w:hint="eastAsia" w:ascii="黑体" w:hAnsi="黑体" w:eastAsia="黑体" w:cs="黑体"/>
          <w:sz w:val="32"/>
          <w:szCs w:val="32"/>
          <w:highlight w:val="none"/>
        </w:rPr>
      </w:pPr>
      <w:r>
        <w:rPr>
          <w:rFonts w:hint="eastAsia" w:ascii="黑体" w:hAnsi="黑体" w:eastAsia="黑体" w:cs="黑体"/>
          <w:sz w:val="32"/>
          <w:szCs w:val="32"/>
          <w:highlight w:val="none"/>
        </w:rPr>
        <w:t>一、绩效目标编制的原则</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lang w:val="en-US" w:eastAsia="zh-CN"/>
        </w:rPr>
      </w:pPr>
      <w:r>
        <w:rPr>
          <w:rFonts w:hint="eastAsia" w:ascii="楷体" w:hAnsi="楷体" w:eastAsia="楷体" w:cs="楷体"/>
          <w:b/>
          <w:sz w:val="32"/>
          <w:szCs w:val="32"/>
          <w:highlight w:val="none"/>
        </w:rPr>
        <w:t>（一）</w:t>
      </w:r>
      <w:r>
        <w:rPr>
          <w:rFonts w:hint="eastAsia" w:ascii="楷体" w:hAnsi="楷体" w:eastAsia="楷体" w:cs="楷体"/>
          <w:b/>
          <w:sz w:val="32"/>
          <w:szCs w:val="32"/>
          <w:highlight w:val="none"/>
          <w:lang w:val="en-US" w:eastAsia="zh-CN"/>
        </w:rPr>
        <w:t>完整</w:t>
      </w:r>
      <w:r>
        <w:rPr>
          <w:rFonts w:hint="eastAsia" w:ascii="楷体" w:hAnsi="楷体" w:eastAsia="楷体" w:cs="楷体"/>
          <w:b/>
          <w:sz w:val="32"/>
          <w:szCs w:val="32"/>
          <w:highlight w:val="none"/>
        </w:rPr>
        <w:t>性原则。</w:t>
      </w:r>
      <w:r>
        <w:rPr>
          <w:rFonts w:hint="eastAsia" w:ascii="仿宋" w:hAnsi="仿宋" w:eastAsia="仿宋_GB2312"/>
          <w:sz w:val="32"/>
          <w:szCs w:val="32"/>
          <w:highlight w:val="none"/>
        </w:rPr>
        <w:t>绩效目标</w:t>
      </w:r>
      <w:r>
        <w:rPr>
          <w:rFonts w:hint="eastAsia" w:ascii="仿宋" w:hAnsi="仿宋" w:eastAsia="仿宋_GB2312"/>
          <w:sz w:val="32"/>
          <w:szCs w:val="32"/>
          <w:highlight w:val="none"/>
          <w:lang w:val="en-US" w:eastAsia="zh-CN"/>
        </w:rPr>
        <w:t>内容要完整、准确、详实，不得缺项、漏项。</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rPr>
      </w:pPr>
      <w:r>
        <w:rPr>
          <w:rFonts w:hint="eastAsia" w:ascii="楷体" w:hAnsi="楷体" w:eastAsia="楷体" w:cs="楷体"/>
          <w:b/>
          <w:sz w:val="32"/>
          <w:szCs w:val="32"/>
          <w:highlight w:val="none"/>
        </w:rPr>
        <w:t>（</w:t>
      </w:r>
      <w:r>
        <w:rPr>
          <w:rFonts w:hint="eastAsia" w:ascii="楷体" w:hAnsi="楷体" w:eastAsia="楷体" w:cs="楷体"/>
          <w:b/>
          <w:sz w:val="32"/>
          <w:szCs w:val="32"/>
          <w:highlight w:val="none"/>
          <w:lang w:val="en-US" w:eastAsia="zh-CN"/>
        </w:rPr>
        <w:t>二</w:t>
      </w:r>
      <w:r>
        <w:rPr>
          <w:rFonts w:hint="eastAsia" w:ascii="楷体" w:hAnsi="楷体" w:eastAsia="楷体" w:cs="楷体"/>
          <w:b/>
          <w:sz w:val="32"/>
          <w:szCs w:val="32"/>
          <w:highlight w:val="none"/>
        </w:rPr>
        <w:t>）相关性原则。</w:t>
      </w:r>
      <w:r>
        <w:rPr>
          <w:rFonts w:hint="eastAsia" w:ascii="仿宋" w:hAnsi="仿宋" w:eastAsia="仿宋_GB2312"/>
          <w:sz w:val="32"/>
          <w:szCs w:val="32"/>
          <w:highlight w:val="none"/>
        </w:rPr>
        <w:t>绩效目标</w:t>
      </w:r>
      <w:r>
        <w:rPr>
          <w:rFonts w:hint="eastAsia" w:ascii="仿宋" w:hAnsi="仿宋" w:eastAsia="仿宋_GB2312"/>
          <w:sz w:val="32"/>
          <w:szCs w:val="32"/>
          <w:highlight w:val="none"/>
          <w:lang w:val="en-US" w:eastAsia="zh-CN"/>
        </w:rPr>
        <w:t>的设置</w:t>
      </w:r>
      <w:r>
        <w:rPr>
          <w:rFonts w:hint="eastAsia" w:ascii="仿宋" w:hAnsi="仿宋" w:eastAsia="仿宋_GB2312"/>
          <w:sz w:val="32"/>
          <w:szCs w:val="32"/>
          <w:highlight w:val="none"/>
        </w:rPr>
        <w:t>要</w:t>
      </w:r>
      <w:r>
        <w:rPr>
          <w:rFonts w:hint="eastAsia" w:ascii="仿宋" w:hAnsi="仿宋" w:eastAsia="仿宋_GB2312"/>
          <w:sz w:val="32"/>
          <w:szCs w:val="32"/>
          <w:highlight w:val="none"/>
          <w:lang w:val="en-US" w:eastAsia="zh-CN"/>
        </w:rPr>
        <w:t>与</w:t>
      </w:r>
      <w:r>
        <w:rPr>
          <w:rFonts w:hint="eastAsia" w:ascii="仿宋" w:hAnsi="仿宋" w:eastAsia="仿宋_GB2312"/>
          <w:sz w:val="32"/>
          <w:szCs w:val="32"/>
          <w:highlight w:val="none"/>
        </w:rPr>
        <w:t>部门职能</w:t>
      </w:r>
      <w:r>
        <w:rPr>
          <w:rFonts w:hint="eastAsia" w:ascii="仿宋" w:hAnsi="仿宋" w:eastAsia="仿宋_GB2312"/>
          <w:sz w:val="32"/>
          <w:szCs w:val="32"/>
          <w:highlight w:val="none"/>
          <w:lang w:eastAsia="zh-CN"/>
        </w:rPr>
        <w:t>、</w:t>
      </w:r>
      <w:r>
        <w:rPr>
          <w:rFonts w:hint="eastAsia" w:ascii="仿宋" w:hAnsi="仿宋" w:eastAsia="仿宋_GB2312"/>
          <w:sz w:val="32"/>
          <w:szCs w:val="32"/>
          <w:highlight w:val="none"/>
          <w:lang w:val="en-US" w:eastAsia="zh-CN"/>
        </w:rPr>
        <w:t>县委县政府重大决策部署、</w:t>
      </w:r>
      <w:r>
        <w:rPr>
          <w:rFonts w:hint="eastAsia" w:ascii="仿宋" w:hAnsi="仿宋" w:eastAsia="仿宋_GB2312"/>
          <w:sz w:val="32"/>
          <w:szCs w:val="32"/>
          <w:highlight w:val="none"/>
        </w:rPr>
        <w:t>事业发展规划</w:t>
      </w:r>
      <w:r>
        <w:rPr>
          <w:rFonts w:hint="eastAsia" w:ascii="仿宋" w:hAnsi="仿宋" w:eastAsia="仿宋_GB2312"/>
          <w:sz w:val="32"/>
          <w:szCs w:val="32"/>
          <w:highlight w:val="none"/>
          <w:lang w:val="en-US" w:eastAsia="zh-CN"/>
        </w:rPr>
        <w:t>和工作计划密切相关</w:t>
      </w:r>
      <w:r>
        <w:rPr>
          <w:rFonts w:hint="eastAsia" w:ascii="仿宋" w:hAnsi="仿宋" w:eastAsia="仿宋_GB2312"/>
          <w:sz w:val="32"/>
          <w:szCs w:val="32"/>
          <w:highlight w:val="none"/>
        </w:rPr>
        <w:t>，与相应的财政支出范围、方向、效益和效果</w:t>
      </w:r>
      <w:r>
        <w:rPr>
          <w:rFonts w:hint="eastAsia" w:ascii="仿宋" w:hAnsi="仿宋" w:eastAsia="仿宋_GB2312"/>
          <w:sz w:val="32"/>
          <w:szCs w:val="32"/>
          <w:highlight w:val="none"/>
          <w:lang w:val="en-US" w:eastAsia="zh-CN"/>
        </w:rPr>
        <w:t>等相匹配</w:t>
      </w:r>
      <w:r>
        <w:rPr>
          <w:rFonts w:hint="eastAsia" w:ascii="仿宋" w:hAnsi="仿宋" w:eastAsia="仿宋_GB2312"/>
          <w:sz w:val="32"/>
          <w:szCs w:val="32"/>
          <w:highlight w:val="none"/>
        </w:rPr>
        <w:t>。</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rPr>
      </w:pPr>
      <w:r>
        <w:rPr>
          <w:rFonts w:hint="eastAsia" w:ascii="楷体" w:hAnsi="楷体" w:eastAsia="楷体" w:cs="楷体"/>
          <w:b/>
          <w:sz w:val="32"/>
          <w:szCs w:val="32"/>
          <w:highlight w:val="none"/>
        </w:rPr>
        <w:t>（</w:t>
      </w:r>
      <w:r>
        <w:rPr>
          <w:rFonts w:hint="eastAsia" w:ascii="楷体" w:hAnsi="楷体" w:eastAsia="楷体" w:cs="楷体"/>
          <w:b/>
          <w:sz w:val="32"/>
          <w:szCs w:val="32"/>
          <w:highlight w:val="none"/>
          <w:lang w:val="en-US" w:eastAsia="zh-CN"/>
        </w:rPr>
        <w:t>三</w:t>
      </w:r>
      <w:r>
        <w:rPr>
          <w:rFonts w:hint="eastAsia" w:ascii="楷体" w:hAnsi="楷体" w:eastAsia="楷体" w:cs="楷体"/>
          <w:b/>
          <w:sz w:val="32"/>
          <w:szCs w:val="32"/>
          <w:highlight w:val="none"/>
        </w:rPr>
        <w:t>）</w:t>
      </w:r>
      <w:r>
        <w:rPr>
          <w:rFonts w:hint="eastAsia" w:ascii="楷体" w:hAnsi="楷体" w:eastAsia="楷体" w:cs="楷体"/>
          <w:b/>
          <w:sz w:val="32"/>
          <w:szCs w:val="32"/>
          <w:highlight w:val="none"/>
          <w:lang w:val="en-US" w:eastAsia="zh-CN"/>
        </w:rPr>
        <w:t>适当性</w:t>
      </w:r>
      <w:r>
        <w:rPr>
          <w:rFonts w:hint="eastAsia" w:ascii="楷体" w:hAnsi="楷体" w:eastAsia="楷体" w:cs="楷体"/>
          <w:b/>
          <w:sz w:val="32"/>
          <w:szCs w:val="32"/>
          <w:highlight w:val="none"/>
        </w:rPr>
        <w:t>原则。</w:t>
      </w:r>
      <w:r>
        <w:rPr>
          <w:rFonts w:hint="eastAsia" w:ascii="仿宋" w:hAnsi="仿宋" w:eastAsia="仿宋_GB2312"/>
          <w:sz w:val="32"/>
          <w:szCs w:val="32"/>
          <w:highlight w:val="none"/>
        </w:rPr>
        <w:t>绩效目标</w:t>
      </w:r>
      <w:r>
        <w:rPr>
          <w:rFonts w:hint="eastAsia" w:ascii="仿宋" w:hAnsi="仿宋" w:eastAsia="仿宋_GB2312"/>
          <w:sz w:val="32"/>
          <w:szCs w:val="32"/>
          <w:highlight w:val="none"/>
          <w:lang w:val="en-US" w:eastAsia="zh-CN"/>
        </w:rPr>
        <w:t>与资金规模、使用方向等相匹配，在既定资金规模下，绩效目标不能过高或过低，或者完成既定目标，资金规模不能过大或过小；预计绩效要符合行业正常水平或事业发展规律，与同类项目相比，预计绩效要正常合理。</w:t>
      </w:r>
      <w:r>
        <w:rPr>
          <w:rFonts w:hint="eastAsia" w:ascii="仿宋" w:hAnsi="仿宋" w:eastAsia="仿宋_GB2312"/>
          <w:sz w:val="32"/>
          <w:szCs w:val="32"/>
          <w:highlight w:val="none"/>
        </w:rPr>
        <w:t>要对项目做什么和要达到的效果有具体明确的说明，并从数量、质量、成本和时效等方面进行细化，便于考核。</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rPr>
      </w:pPr>
      <w:r>
        <w:rPr>
          <w:rFonts w:hint="eastAsia" w:ascii="楷体" w:hAnsi="楷体" w:eastAsia="楷体" w:cs="楷体"/>
          <w:b/>
          <w:sz w:val="32"/>
          <w:szCs w:val="32"/>
          <w:highlight w:val="none"/>
        </w:rPr>
        <w:t>（三）可行性原则</w:t>
      </w:r>
      <w:r>
        <w:rPr>
          <w:rFonts w:hint="eastAsia" w:ascii="楷体" w:hAnsi="楷体" w:eastAsia="楷体_GB2312" w:cs="楷体"/>
          <w:b/>
          <w:sz w:val="32"/>
          <w:szCs w:val="32"/>
          <w:highlight w:val="none"/>
        </w:rPr>
        <w:t>。</w:t>
      </w:r>
      <w:r>
        <w:rPr>
          <w:rFonts w:hint="eastAsia" w:ascii="仿宋" w:hAnsi="仿宋" w:eastAsia="仿宋_GB2312"/>
          <w:sz w:val="32"/>
          <w:szCs w:val="32"/>
          <w:highlight w:val="none"/>
        </w:rPr>
        <w:t>绩效目标</w:t>
      </w:r>
      <w:r>
        <w:rPr>
          <w:rFonts w:hint="eastAsia" w:ascii="仿宋" w:hAnsi="仿宋" w:eastAsia="仿宋_GB2312"/>
          <w:sz w:val="32"/>
          <w:szCs w:val="32"/>
          <w:highlight w:val="none"/>
          <w:lang w:val="en-US" w:eastAsia="zh-CN"/>
        </w:rPr>
        <w:t>要经过充分</w:t>
      </w:r>
      <w:r>
        <w:rPr>
          <w:rFonts w:hint="eastAsia" w:ascii="仿宋" w:hAnsi="仿宋" w:eastAsia="仿宋_GB2312"/>
          <w:sz w:val="32"/>
          <w:szCs w:val="32"/>
          <w:highlight w:val="none"/>
        </w:rPr>
        <w:t>论证</w:t>
      </w:r>
      <w:r>
        <w:rPr>
          <w:rFonts w:hint="eastAsia" w:ascii="仿宋" w:hAnsi="仿宋" w:eastAsia="仿宋_GB2312"/>
          <w:sz w:val="32"/>
          <w:szCs w:val="32"/>
          <w:highlight w:val="none"/>
          <w:lang w:val="en-US" w:eastAsia="zh-CN"/>
        </w:rPr>
        <w:t>和合理测算，采取的措施要切实可行，能确保绩效目标如期实现</w:t>
      </w:r>
      <w:r>
        <w:rPr>
          <w:rFonts w:hint="eastAsia" w:ascii="仿宋" w:hAnsi="仿宋" w:eastAsia="仿宋_GB2312"/>
          <w:sz w:val="32"/>
          <w:szCs w:val="32"/>
          <w:highlight w:val="none"/>
        </w:rPr>
        <w:t>。</w:t>
      </w:r>
    </w:p>
    <w:p>
      <w:pPr>
        <w:pageBreakBefore w:val="0"/>
        <w:kinsoku/>
        <w:wordWrap/>
        <w:topLinePunct w:val="0"/>
        <w:bidi w:val="0"/>
        <w:spacing w:before="0" w:beforeLines="0" w:after="0" w:afterLines="0" w:line="580" w:lineRule="exact"/>
        <w:ind w:left="0" w:leftChars="0" w:right="0" w:rightChars="0" w:firstLine="640" w:firstLineChars="200"/>
        <w:jc w:val="both"/>
        <w:rPr>
          <w:rFonts w:hint="eastAsia" w:ascii="黑体" w:hAnsi="黑体" w:eastAsia="黑体" w:cs="黑体"/>
          <w:sz w:val="32"/>
          <w:szCs w:val="32"/>
          <w:highlight w:val="none"/>
        </w:rPr>
      </w:pPr>
      <w:r>
        <w:rPr>
          <w:rFonts w:hint="eastAsia" w:ascii="黑体" w:hAnsi="黑体" w:eastAsia="黑体" w:cs="黑体"/>
          <w:sz w:val="32"/>
          <w:szCs w:val="32"/>
          <w:highlight w:val="none"/>
        </w:rPr>
        <w:t>二、绩效目标编制内容和程序</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rPr>
      </w:pPr>
      <w:r>
        <w:rPr>
          <w:rFonts w:hint="eastAsia" w:ascii="楷体" w:hAnsi="楷体" w:eastAsia="楷体" w:cs="楷体"/>
          <w:b/>
          <w:sz w:val="32"/>
          <w:szCs w:val="32"/>
          <w:highlight w:val="none"/>
        </w:rPr>
        <w:t>（一）绩效目标编制内容</w:t>
      </w:r>
      <w:r>
        <w:rPr>
          <w:rFonts w:hint="eastAsia" w:ascii="楷体" w:hAnsi="楷体" w:eastAsia="楷体" w:cs="楷体"/>
          <w:sz w:val="32"/>
          <w:szCs w:val="32"/>
          <w:highlight w:val="none"/>
        </w:rPr>
        <w:t>。</w:t>
      </w:r>
      <w:r>
        <w:rPr>
          <w:rFonts w:hint="eastAsia" w:ascii="仿宋" w:hAnsi="仿宋" w:eastAsia="仿宋_GB2312"/>
          <w:sz w:val="32"/>
          <w:szCs w:val="32"/>
          <w:highlight w:val="none"/>
        </w:rPr>
        <w:t>部门预算总体绩效目标及确保完成绩效目标的措施，列入部门预算的专项项目绩效目标和指标，绩效指标细分为预期产出指标和成果指标。预算绩效目标全部编入部门预算文本。</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rPr>
      </w:pPr>
      <w:r>
        <w:rPr>
          <w:rFonts w:hint="eastAsia" w:ascii="楷体" w:hAnsi="楷体" w:eastAsia="楷体" w:cs="楷体"/>
          <w:b/>
          <w:sz w:val="32"/>
          <w:szCs w:val="32"/>
          <w:highlight w:val="none"/>
        </w:rPr>
        <w:t>（二）绩效目标编制程序。</w:t>
      </w:r>
      <w:r>
        <w:rPr>
          <w:rFonts w:hint="eastAsia" w:ascii="仿宋" w:hAnsi="仿宋" w:eastAsia="仿宋_GB2312"/>
          <w:sz w:val="32"/>
          <w:szCs w:val="32"/>
          <w:highlight w:val="none"/>
        </w:rPr>
        <w:t>根据</w:t>
      </w:r>
      <w:r>
        <w:rPr>
          <w:rFonts w:hint="eastAsia" w:ascii="仿宋" w:hAnsi="仿宋" w:eastAsia="仿宋_GB2312"/>
          <w:sz w:val="32"/>
          <w:szCs w:val="32"/>
          <w:highlight w:val="none"/>
          <w:lang w:eastAsia="zh-CN"/>
        </w:rPr>
        <w:t>202</w:t>
      </w:r>
      <w:r>
        <w:rPr>
          <w:rFonts w:hint="eastAsia" w:ascii="仿宋" w:hAnsi="仿宋" w:eastAsia="仿宋_GB2312"/>
          <w:sz w:val="32"/>
          <w:szCs w:val="32"/>
          <w:highlight w:val="none"/>
          <w:lang w:val="en-US" w:eastAsia="zh-CN"/>
        </w:rPr>
        <w:t>6</w:t>
      </w:r>
      <w:r>
        <w:rPr>
          <w:rFonts w:hint="eastAsia" w:ascii="仿宋" w:hAnsi="仿宋" w:eastAsia="仿宋_GB2312"/>
          <w:sz w:val="32"/>
          <w:szCs w:val="32"/>
          <w:highlight w:val="none"/>
          <w:lang w:eastAsia="zh-CN"/>
        </w:rPr>
        <w:t>年</w:t>
      </w:r>
      <w:r>
        <w:rPr>
          <w:rFonts w:hint="eastAsia" w:ascii="仿宋" w:hAnsi="仿宋" w:eastAsia="仿宋_GB2312"/>
          <w:sz w:val="32"/>
          <w:szCs w:val="32"/>
          <w:highlight w:val="none"/>
        </w:rPr>
        <w:t>预算绩效管理改革的要求，做到绩效目标编制与预算编制“三个同步”。</w:t>
      </w:r>
    </w:p>
    <w:p>
      <w:pPr>
        <w:pageBreakBefore w:val="0"/>
        <w:kinsoku/>
        <w:wordWrap/>
        <w:topLinePunct w:val="0"/>
        <w:bidi w:val="0"/>
        <w:spacing w:before="0" w:beforeLines="0" w:after="0" w:afterLines="0" w:line="580" w:lineRule="exact"/>
        <w:ind w:left="0" w:leftChars="0" w:right="0" w:rightChars="0" w:firstLine="643" w:firstLineChars="200"/>
        <w:jc w:val="both"/>
        <w:outlineLvl w:val="9"/>
        <w:rPr>
          <w:rFonts w:hint="eastAsia" w:ascii="仿宋" w:hAnsi="仿宋" w:eastAsia="仿宋_GB2312"/>
          <w:sz w:val="32"/>
          <w:szCs w:val="32"/>
          <w:highlight w:val="none"/>
        </w:rPr>
      </w:pPr>
      <w:r>
        <w:rPr>
          <w:rFonts w:hint="eastAsia" w:ascii="仿宋" w:hAnsi="仿宋" w:eastAsia="仿宋_GB2312" w:cs="仿宋"/>
          <w:b/>
          <w:bCs/>
          <w:sz w:val="32"/>
          <w:szCs w:val="32"/>
          <w:highlight w:val="none"/>
        </w:rPr>
        <w:t>1.同步申报绩效目标。</w:t>
      </w:r>
      <w:r>
        <w:rPr>
          <w:rFonts w:hint="eastAsia" w:ascii="仿宋" w:hAnsi="仿宋" w:eastAsia="仿宋_GB2312"/>
          <w:sz w:val="32"/>
          <w:szCs w:val="32"/>
          <w:highlight w:val="none"/>
        </w:rPr>
        <w:t>部署</w:t>
      </w:r>
      <w:r>
        <w:rPr>
          <w:rFonts w:hint="eastAsia" w:ascii="仿宋" w:hAnsi="仿宋" w:eastAsia="仿宋_GB2312"/>
          <w:sz w:val="32"/>
          <w:szCs w:val="32"/>
          <w:highlight w:val="none"/>
          <w:lang w:val="en-US" w:eastAsia="zh-CN"/>
        </w:rPr>
        <w:t>2026年</w:t>
      </w:r>
      <w:r>
        <w:rPr>
          <w:rFonts w:hint="eastAsia" w:ascii="仿宋" w:hAnsi="仿宋" w:eastAsia="仿宋_GB2312"/>
          <w:sz w:val="32"/>
          <w:szCs w:val="32"/>
          <w:highlight w:val="none"/>
        </w:rPr>
        <w:t>预算编制工作时，要求部门在预算申报中，同步申报项目支出绩效目标。</w:t>
      </w:r>
    </w:p>
    <w:p>
      <w:pPr>
        <w:pageBreakBefore w:val="0"/>
        <w:kinsoku/>
        <w:wordWrap/>
        <w:topLinePunct w:val="0"/>
        <w:bidi w:val="0"/>
        <w:spacing w:before="0" w:beforeLines="0" w:after="0" w:afterLines="0" w:line="580" w:lineRule="exact"/>
        <w:ind w:left="0" w:leftChars="0" w:right="0" w:rightChars="0" w:firstLine="643" w:firstLineChars="200"/>
        <w:jc w:val="both"/>
        <w:outlineLvl w:val="9"/>
        <w:rPr>
          <w:rFonts w:hint="eastAsia" w:ascii="仿宋" w:hAnsi="仿宋" w:eastAsia="仿宋_GB2312"/>
          <w:sz w:val="32"/>
          <w:szCs w:val="32"/>
          <w:highlight w:val="none"/>
        </w:rPr>
      </w:pPr>
      <w:r>
        <w:rPr>
          <w:rFonts w:hint="eastAsia" w:ascii="仿宋" w:hAnsi="仿宋" w:eastAsia="仿宋_GB2312" w:cs="仿宋"/>
          <w:b/>
          <w:bCs/>
          <w:sz w:val="32"/>
          <w:szCs w:val="32"/>
          <w:highlight w:val="none"/>
        </w:rPr>
        <w:t>2.同步审核绩效目标</w:t>
      </w:r>
      <w:r>
        <w:rPr>
          <w:rFonts w:hint="eastAsia" w:ascii="仿宋" w:hAnsi="仿宋" w:eastAsia="仿宋_GB2312"/>
          <w:b/>
          <w:bCs/>
          <w:sz w:val="32"/>
          <w:szCs w:val="32"/>
          <w:highlight w:val="none"/>
        </w:rPr>
        <w:t>。</w:t>
      </w:r>
      <w:r>
        <w:rPr>
          <w:rFonts w:hint="eastAsia" w:ascii="仿宋" w:hAnsi="仿宋" w:eastAsia="仿宋_GB2312"/>
          <w:sz w:val="32"/>
          <w:szCs w:val="32"/>
          <w:highlight w:val="none"/>
        </w:rPr>
        <w:t>县财政局在审核预算时，首先对部门申报的绩效目标进行审核，对没有绩效目标，或绩效目标不完整的，由部门补充、完善。对低绩效、无绩效项目，不予安排预算。</w:t>
      </w:r>
    </w:p>
    <w:p>
      <w:pPr>
        <w:pageBreakBefore w:val="0"/>
        <w:kinsoku/>
        <w:wordWrap/>
        <w:topLinePunct w:val="0"/>
        <w:bidi w:val="0"/>
        <w:spacing w:before="0" w:beforeLines="0" w:after="0" w:afterLines="0" w:line="580" w:lineRule="exact"/>
        <w:ind w:left="0" w:leftChars="0" w:right="0" w:rightChars="0" w:firstLine="643" w:firstLineChars="200"/>
        <w:jc w:val="both"/>
        <w:outlineLvl w:val="9"/>
        <w:rPr>
          <w:rFonts w:hint="eastAsia" w:ascii="仿宋" w:hAnsi="仿宋" w:eastAsia="仿宋_GB2312"/>
          <w:sz w:val="32"/>
          <w:szCs w:val="32"/>
          <w:highlight w:val="none"/>
        </w:rPr>
      </w:pPr>
      <w:r>
        <w:rPr>
          <w:rFonts w:hint="eastAsia" w:ascii="仿宋" w:hAnsi="仿宋" w:eastAsia="仿宋_GB2312" w:cs="仿宋"/>
          <w:b/>
          <w:bCs/>
          <w:sz w:val="32"/>
          <w:szCs w:val="32"/>
          <w:highlight w:val="none"/>
        </w:rPr>
        <w:t>3.同步批复绩效目标。</w:t>
      </w:r>
      <w:r>
        <w:rPr>
          <w:rFonts w:hint="eastAsia" w:ascii="仿宋" w:hAnsi="仿宋" w:eastAsia="仿宋_GB2312"/>
          <w:sz w:val="32"/>
          <w:szCs w:val="32"/>
          <w:highlight w:val="none"/>
        </w:rPr>
        <w:t>将审核后的绩效目标编入部门预算文本，预算经人大审查批准后，将绩效目标随部门预算一同批复。</w:t>
      </w:r>
    </w:p>
    <w:p>
      <w:pPr>
        <w:pageBreakBefore w:val="0"/>
        <w:kinsoku/>
        <w:wordWrap/>
        <w:topLinePunct w:val="0"/>
        <w:bidi w:val="0"/>
        <w:spacing w:before="0" w:beforeLines="0" w:after="0" w:afterLines="0" w:line="580" w:lineRule="exact"/>
        <w:ind w:left="0" w:leftChars="0" w:right="0" w:rightChars="0" w:firstLine="643" w:firstLineChars="200"/>
        <w:jc w:val="both"/>
        <w:outlineLvl w:val="9"/>
        <w:rPr>
          <w:rFonts w:hint="eastAsia" w:ascii="仿宋" w:hAnsi="仿宋" w:eastAsia="仿宋_GB2312"/>
          <w:sz w:val="32"/>
          <w:szCs w:val="32"/>
          <w:highlight w:val="none"/>
          <w:lang w:val="en-US" w:eastAsia="zh-CN"/>
        </w:rPr>
      </w:pPr>
      <w:r>
        <w:rPr>
          <w:rFonts w:hint="eastAsia" w:ascii="仿宋" w:hAnsi="仿宋" w:eastAsia="仿宋_GB2312" w:cs="仿宋"/>
          <w:b/>
          <w:bCs/>
          <w:sz w:val="32"/>
          <w:szCs w:val="32"/>
          <w:highlight w:val="none"/>
          <w:lang w:val="en-US" w:eastAsia="zh-CN"/>
        </w:rPr>
        <w:t>4</w:t>
      </w:r>
      <w:r>
        <w:rPr>
          <w:rFonts w:hint="eastAsia" w:ascii="仿宋" w:hAnsi="仿宋" w:eastAsia="仿宋_GB2312" w:cs="仿宋"/>
          <w:b/>
          <w:bCs/>
          <w:sz w:val="32"/>
          <w:szCs w:val="32"/>
          <w:highlight w:val="none"/>
        </w:rPr>
        <w:t>.同步</w:t>
      </w:r>
      <w:r>
        <w:rPr>
          <w:rFonts w:hint="eastAsia" w:ascii="仿宋" w:hAnsi="仿宋" w:eastAsia="仿宋_GB2312" w:cs="仿宋"/>
          <w:b/>
          <w:bCs/>
          <w:sz w:val="32"/>
          <w:szCs w:val="32"/>
          <w:highlight w:val="none"/>
          <w:lang w:val="en-US" w:eastAsia="zh-CN"/>
        </w:rPr>
        <w:t>公开</w:t>
      </w:r>
      <w:r>
        <w:rPr>
          <w:rFonts w:hint="eastAsia" w:ascii="仿宋" w:hAnsi="仿宋" w:eastAsia="仿宋_GB2312" w:cs="仿宋"/>
          <w:b/>
          <w:bCs/>
          <w:sz w:val="32"/>
          <w:szCs w:val="32"/>
          <w:highlight w:val="none"/>
        </w:rPr>
        <w:t>绩效目标。</w:t>
      </w:r>
      <w:r>
        <w:rPr>
          <w:rFonts w:hint="eastAsia" w:ascii="仿宋" w:hAnsi="仿宋" w:eastAsia="仿宋_GB2312"/>
          <w:sz w:val="32"/>
          <w:szCs w:val="32"/>
          <w:highlight w:val="none"/>
          <w:lang w:val="en-US" w:eastAsia="zh-CN"/>
        </w:rPr>
        <w:t>各部门在规定时限内，在门户网站将绩效目标向社会公开。同时作为部门预算执行绩效监控、绩效评价的依据。</w:t>
      </w:r>
    </w:p>
    <w:p>
      <w:pPr>
        <w:pageBreakBefore w:val="0"/>
        <w:kinsoku/>
        <w:wordWrap/>
        <w:topLinePunct w:val="0"/>
        <w:bidi w:val="0"/>
        <w:spacing w:before="0" w:beforeLines="0" w:after="0" w:afterLines="0" w:line="580" w:lineRule="exact"/>
        <w:ind w:left="0" w:leftChars="0" w:right="0" w:rightChars="0" w:firstLine="643" w:firstLineChars="200"/>
        <w:jc w:val="both"/>
        <w:rPr>
          <w:rFonts w:hint="eastAsia" w:ascii="仿宋" w:hAnsi="仿宋" w:eastAsia="仿宋_GB2312"/>
          <w:sz w:val="32"/>
          <w:szCs w:val="32"/>
          <w:highlight w:val="none"/>
        </w:rPr>
      </w:pPr>
      <w:r>
        <w:rPr>
          <w:rFonts w:hint="eastAsia" w:ascii="楷体" w:hAnsi="楷体" w:eastAsia="楷体" w:cs="楷体"/>
          <w:b/>
          <w:sz w:val="32"/>
          <w:szCs w:val="32"/>
          <w:highlight w:val="none"/>
        </w:rPr>
        <w:t>（三）绩效目标编制成果</w:t>
      </w:r>
      <w:r>
        <w:rPr>
          <w:rFonts w:hint="eastAsia" w:ascii="楷体" w:hAnsi="楷体" w:eastAsia="楷体" w:cs="楷体"/>
          <w:b/>
          <w:sz w:val="32"/>
          <w:szCs w:val="32"/>
          <w:highlight w:val="none"/>
          <w:lang w:eastAsia="zh-CN"/>
        </w:rPr>
        <w:t>。</w:t>
      </w:r>
      <w:r>
        <w:rPr>
          <w:rFonts w:hint="eastAsia" w:ascii="仿宋" w:hAnsi="仿宋" w:eastAsia="仿宋_GB2312"/>
          <w:color w:val="auto"/>
          <w:sz w:val="32"/>
          <w:szCs w:val="32"/>
          <w:highlight w:val="none"/>
        </w:rPr>
        <w:t>5</w:t>
      </w:r>
      <w:r>
        <w:rPr>
          <w:rFonts w:hint="eastAsia" w:ascii="仿宋" w:hAnsi="仿宋" w:eastAsia="仿宋_GB2312"/>
          <w:color w:val="auto"/>
          <w:sz w:val="32"/>
          <w:szCs w:val="32"/>
          <w:highlight w:val="none"/>
          <w:lang w:val="en-US" w:eastAsia="zh-CN"/>
        </w:rPr>
        <w:t>9</w:t>
      </w:r>
      <w:bookmarkStart w:id="3" w:name="_GoBack"/>
      <w:bookmarkEnd w:id="3"/>
      <w:r>
        <w:rPr>
          <w:rFonts w:hint="eastAsia" w:ascii="仿宋" w:hAnsi="仿宋" w:eastAsia="仿宋_GB2312"/>
          <w:color w:val="auto"/>
          <w:sz w:val="32"/>
          <w:szCs w:val="32"/>
          <w:highlight w:val="none"/>
        </w:rPr>
        <w:t>个预算部门全部编制</w:t>
      </w:r>
      <w:r>
        <w:rPr>
          <w:rFonts w:hint="eastAsia" w:ascii="仿宋" w:hAnsi="仿宋" w:eastAsia="仿宋_GB2312"/>
          <w:color w:val="auto"/>
          <w:sz w:val="32"/>
          <w:szCs w:val="32"/>
          <w:highlight w:val="none"/>
          <w:lang w:eastAsia="zh-CN"/>
        </w:rPr>
        <w:t>202</w:t>
      </w:r>
      <w:r>
        <w:rPr>
          <w:rFonts w:hint="eastAsia" w:ascii="仿宋" w:hAnsi="仿宋" w:eastAsia="仿宋_GB2312"/>
          <w:color w:val="auto"/>
          <w:sz w:val="32"/>
          <w:szCs w:val="32"/>
          <w:highlight w:val="none"/>
          <w:lang w:val="en-US" w:eastAsia="zh-CN"/>
        </w:rPr>
        <w:t>6</w:t>
      </w:r>
      <w:r>
        <w:rPr>
          <w:rFonts w:hint="eastAsia" w:ascii="仿宋" w:hAnsi="仿宋" w:eastAsia="仿宋_GB2312"/>
          <w:color w:val="auto"/>
          <w:sz w:val="32"/>
          <w:szCs w:val="32"/>
          <w:highlight w:val="none"/>
          <w:lang w:eastAsia="zh-CN"/>
        </w:rPr>
        <w:t>年</w:t>
      </w:r>
      <w:r>
        <w:rPr>
          <w:rFonts w:hint="eastAsia" w:ascii="仿宋" w:hAnsi="仿宋" w:eastAsia="仿宋_GB2312"/>
          <w:color w:val="auto"/>
          <w:sz w:val="32"/>
          <w:szCs w:val="32"/>
          <w:highlight w:val="none"/>
        </w:rPr>
        <w:t>预算支出总体绩效目标及具体措施。</w:t>
      </w:r>
      <w:r>
        <w:rPr>
          <w:rFonts w:hint="eastAsia" w:ascii="仿宋" w:hAnsi="仿宋" w:eastAsia="仿宋_GB2312"/>
          <w:color w:val="auto"/>
          <w:sz w:val="32"/>
          <w:szCs w:val="32"/>
          <w:highlight w:val="none"/>
          <w:lang w:eastAsia="zh-CN"/>
        </w:rPr>
        <w:t>所有</w:t>
      </w:r>
      <w:r>
        <w:rPr>
          <w:rFonts w:hint="eastAsia" w:ascii="仿宋" w:hAnsi="仿宋" w:eastAsia="仿宋_GB2312"/>
          <w:sz w:val="32"/>
          <w:szCs w:val="32"/>
          <w:highlight w:val="none"/>
        </w:rPr>
        <w:t>预算项目编制了绩效目标指标并通过了绩效审核，全部编入部门预算文本。</w:t>
      </w:r>
    </w:p>
    <w:p>
      <w:pPr>
        <w:pageBreakBefore w:val="0"/>
        <w:kinsoku/>
        <w:wordWrap/>
        <w:topLinePunct w:val="0"/>
        <w:bidi w:val="0"/>
        <w:spacing w:before="0" w:beforeLines="0" w:after="0" w:afterLines="0" w:line="580" w:lineRule="exact"/>
        <w:ind w:left="0" w:leftChars="0" w:right="0" w:rightChars="0"/>
        <w:jc w:val="both"/>
        <w:rPr>
          <w:rFonts w:hint="eastAsia" w:ascii="仿宋_GB2312" w:eastAsia="仿宋_GB2312"/>
          <w:b/>
          <w:bCs/>
          <w:sz w:val="48"/>
          <w:szCs w:val="48"/>
          <w:highlight w:val="none"/>
        </w:rPr>
      </w:pPr>
    </w:p>
    <w:p>
      <w:pPr>
        <w:pageBreakBefore w:val="0"/>
        <w:kinsoku/>
        <w:wordWrap/>
        <w:topLinePunct w:val="0"/>
        <w:bidi w:val="0"/>
        <w:jc w:val="both"/>
        <w:rPr>
          <w:rFonts w:hint="eastAsia" w:ascii="仿宋_GB2312" w:eastAsia="仿宋_GB2312"/>
          <w:b/>
          <w:bCs/>
          <w:sz w:val="48"/>
          <w:szCs w:val="48"/>
          <w:highlight w:val="none"/>
        </w:rPr>
      </w:pPr>
    </w:p>
    <w:p>
      <w:pPr>
        <w:pageBreakBefore w:val="0"/>
        <w:kinsoku/>
        <w:wordWrap/>
        <w:topLinePunct w:val="0"/>
        <w:bidi w:val="0"/>
        <w:spacing w:after="0" w:line="600" w:lineRule="exact"/>
        <w:jc w:val="both"/>
        <w:rPr>
          <w:rFonts w:hint="eastAsia" w:ascii="宋体" w:hAnsi="宋体" w:eastAsia="宋体" w:cs="宋体"/>
          <w:b/>
          <w:bCs/>
          <w:sz w:val="44"/>
          <w:szCs w:val="44"/>
        </w:rPr>
      </w:pPr>
    </w:p>
    <w:p>
      <w:pPr>
        <w:pageBreakBefore w:val="0"/>
        <w:kinsoku/>
        <w:wordWrap/>
        <w:topLinePunct w:val="0"/>
        <w:bidi w:val="0"/>
        <w:spacing w:after="0" w:line="600" w:lineRule="exact"/>
        <w:jc w:val="both"/>
        <w:rPr>
          <w:rFonts w:hint="eastAsia" w:ascii="宋体" w:hAnsi="宋体" w:eastAsia="宋体" w:cs="宋体"/>
          <w:b/>
          <w:bCs/>
          <w:sz w:val="44"/>
          <w:szCs w:val="44"/>
        </w:rPr>
      </w:pPr>
    </w:p>
    <w:p>
      <w:pPr>
        <w:pageBreakBefore w:val="0"/>
        <w:kinsoku/>
        <w:wordWrap/>
        <w:topLinePunct w:val="0"/>
        <w:bidi w:val="0"/>
        <w:spacing w:after="0" w:line="600" w:lineRule="exact"/>
        <w:jc w:val="both"/>
        <w:rPr>
          <w:rFonts w:hint="eastAsia" w:ascii="宋体" w:hAnsi="宋体" w:eastAsia="宋体" w:cs="宋体"/>
          <w:b/>
          <w:bCs/>
          <w:sz w:val="44"/>
          <w:szCs w:val="44"/>
        </w:rPr>
      </w:pPr>
    </w:p>
    <w:p>
      <w:pPr>
        <w:pageBreakBefore w:val="0"/>
        <w:kinsoku/>
        <w:wordWrap/>
        <w:topLinePunct w:val="0"/>
        <w:bidi w:val="0"/>
        <w:spacing w:after="0" w:line="600" w:lineRule="exact"/>
        <w:jc w:val="both"/>
        <w:rPr>
          <w:rFonts w:hint="eastAsia" w:ascii="宋体" w:hAnsi="宋体" w:eastAsia="宋体" w:cs="宋体"/>
          <w:b/>
          <w:bCs/>
          <w:sz w:val="44"/>
          <w:szCs w:val="44"/>
        </w:rPr>
      </w:pPr>
    </w:p>
    <w:p>
      <w:pPr>
        <w:pageBreakBefore w:val="0"/>
        <w:kinsoku/>
        <w:wordWrap/>
        <w:topLinePunct w:val="0"/>
        <w:bidi w:val="0"/>
        <w:spacing w:after="0" w:line="600" w:lineRule="exact"/>
        <w:jc w:val="both"/>
        <w:rPr>
          <w:rFonts w:hint="eastAsia" w:ascii="宋体" w:hAnsi="宋体" w:eastAsia="宋体" w:cs="宋体"/>
          <w:b/>
          <w:bCs/>
          <w:sz w:val="44"/>
          <w:szCs w:val="44"/>
        </w:rPr>
        <w:sectPr>
          <w:pgSz w:w="11906" w:h="16838"/>
          <w:pgMar w:top="1440" w:right="1644" w:bottom="1440" w:left="1644" w:header="708" w:footer="709" w:gutter="0"/>
          <w:cols w:space="0" w:num="1"/>
          <w:docGrid w:type="lines" w:linePitch="360" w:charSpace="0"/>
        </w:sectPr>
      </w:pPr>
    </w:p>
    <w:p>
      <w:pPr>
        <w:pageBreakBefore w:val="0"/>
        <w:kinsoku/>
        <w:wordWrap/>
        <w:topLinePunct w:val="0"/>
        <w:bidi w:val="0"/>
        <w:spacing w:before="0" w:after="0"/>
        <w:jc w:val="center"/>
        <w:outlineLvl w:val="9"/>
        <w:rPr>
          <w:rFonts w:hint="eastAsia" w:ascii="方正小标宋_GBK" w:hAnsi="方正小标宋_GBK" w:eastAsia="方正小标宋_GBK" w:cs="方正小标宋_GBK"/>
          <w:b w:val="0"/>
          <w:bCs w:val="0"/>
          <w:color w:val="000000"/>
          <w:sz w:val="44"/>
        </w:rPr>
      </w:pPr>
      <w:r>
        <w:rPr>
          <w:rFonts w:hint="eastAsia" w:ascii="方正小标宋_GBK" w:hAnsi="方正小标宋_GBK" w:eastAsia="方正小标宋_GBK" w:cs="方正小标宋_GBK"/>
          <w:b w:val="0"/>
          <w:bCs w:val="0"/>
          <w:sz w:val="44"/>
          <w:szCs w:val="32"/>
          <w:lang w:val="en-US" w:eastAsia="zh-CN"/>
        </w:rPr>
        <w:t>深泽县2026年重大政策和重点项目等绩效目标</w:t>
      </w:r>
    </w:p>
    <w:p>
      <w:pPr>
        <w:spacing w:before="0" w:after="0"/>
        <w:ind w:firstLine="560"/>
        <w:jc w:val="left"/>
        <w:outlineLvl w:val="9"/>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年城乡居民基本养老保险中央财政补助经费（冀财社〔202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07</w:t>
      </w:r>
      <w:r>
        <w:rPr>
          <w:rFonts w:ascii="方正仿宋_GBK" w:hAnsi="方正仿宋_GBK" w:eastAsia="方正仿宋_GBK" w:cs="方正仿宋_GBK"/>
          <w:color w:val="000000"/>
          <w:sz w:val="28"/>
        </w:rPr>
        <w:t>号）绩效目标表</w:t>
      </w:r>
    </w:p>
    <w:p>
      <w:pPr>
        <w:spacing w:before="0" w:after="0"/>
        <w:ind w:firstLine="560"/>
        <w:jc w:val="right"/>
        <w:outlineLvl w:val="9"/>
        <w:rPr>
          <w:rFonts w:hint="default" w:ascii="方正仿宋_GBK" w:hAnsi="方正仿宋_GBK" w:eastAsia="方正仿宋_GBK" w:cs="方正仿宋_GBK"/>
          <w:color w:val="000000"/>
          <w:sz w:val="28"/>
          <w:lang w:val="en-US" w:eastAsia="zh-CN"/>
        </w:rPr>
      </w:pPr>
      <w:r>
        <w:rPr>
          <w:rFonts w:hint="eastAsia" w:ascii="方正书宋_GBK" w:hAnsi="方正书宋_GBK" w:eastAsia="方正书宋_GBK" w:cs="方正书宋_GBK"/>
          <w:sz w:val="21"/>
          <w:szCs w:val="22"/>
          <w:lang w:val="en-US" w:eastAsia="zh-CN" w:bidi="ar-SA"/>
        </w:rPr>
        <w:t>单位：万元</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530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noWrap w:val="0"/>
            <w:vAlign w:val="center"/>
          </w:tcPr>
          <w:tbl>
            <w:tblPr>
              <w:tblStyle w:val="9"/>
              <w:tblpPr w:leftFromText="180" w:rightFromText="180" w:vertAnchor="text" w:horzAnchor="page" w:tblpXSpec="center" w:tblpY="484"/>
              <w:tblOverlap w:val="never"/>
              <w:tblW w:w="14315" w:type="dxa"/>
              <w:jc w:val="center"/>
              <w:tblInd w:w="0" w:type="dxa"/>
              <w:shd w:val="clear" w:color="auto" w:fill="auto"/>
              <w:tblLayout w:type="fixed"/>
              <w:tblCellMar>
                <w:top w:w="0" w:type="dxa"/>
                <w:left w:w="0" w:type="dxa"/>
                <w:bottom w:w="0" w:type="dxa"/>
                <w:right w:w="0" w:type="dxa"/>
              </w:tblCellMar>
            </w:tblPr>
            <w:tblGrid>
              <w:gridCol w:w="1575"/>
              <w:gridCol w:w="1530"/>
              <w:gridCol w:w="2572"/>
              <w:gridCol w:w="3523"/>
              <w:gridCol w:w="790"/>
              <w:gridCol w:w="795"/>
              <w:gridCol w:w="1070"/>
              <w:gridCol w:w="2460"/>
            </w:tblGrid>
            <w:tr>
              <w:tblPrEx>
                <w:tblLayout w:type="fixed"/>
                <w:tblCellMar>
                  <w:top w:w="0" w:type="dxa"/>
                  <w:left w:w="0" w:type="dxa"/>
                  <w:bottom w:w="0" w:type="dxa"/>
                  <w:right w:w="0" w:type="dxa"/>
                </w:tblCellMar>
              </w:tblPrEx>
              <w:trPr>
                <w:trHeight w:val="600" w:hRule="atLeast"/>
                <w:jc w:val="center"/>
              </w:trPr>
              <w:tc>
                <w:tcPr>
                  <w:tcW w:w="31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项目编码及名称</w:t>
                  </w:r>
                </w:p>
              </w:tc>
              <w:tc>
                <w:tcPr>
                  <w:tcW w:w="60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hint="default" w:ascii="宋体" w:hAnsi="宋体" w:eastAsia="宋体" w:cs="Times New Roman"/>
                      <w:kern w:val="2"/>
                      <w:sz w:val="21"/>
                      <w:lang w:val="en-US" w:eastAsia="zh-CN"/>
                    </w:rPr>
                    <w:t>13012826P00019810013K-2026年城乡居民基本养老保险中央财政补助经费（冀财社〔2025〕107号）</w:t>
                  </w: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主管部门及代码</w:t>
                  </w:r>
                </w:p>
              </w:tc>
              <w:tc>
                <w:tcPr>
                  <w:tcW w:w="3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[323]深泽县人力资源和社会保障局</w:t>
                  </w:r>
                </w:p>
              </w:tc>
            </w:tr>
            <w:tr>
              <w:tblPrEx>
                <w:shd w:val="clear" w:color="auto" w:fill="auto"/>
                <w:tblLayout w:type="fixed"/>
                <w:tblCellMar>
                  <w:top w:w="0" w:type="dxa"/>
                  <w:left w:w="0" w:type="dxa"/>
                  <w:bottom w:w="0" w:type="dxa"/>
                  <w:right w:w="0" w:type="dxa"/>
                </w:tblCellMar>
              </w:tblPrEx>
              <w:trPr>
                <w:trHeight w:val="450" w:hRule="atLeast"/>
                <w:jc w:val="center"/>
              </w:trPr>
              <w:tc>
                <w:tcPr>
                  <w:tcW w:w="31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项目单位</w:t>
                  </w:r>
                </w:p>
              </w:tc>
              <w:tc>
                <w:tcPr>
                  <w:tcW w:w="60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323001-1]深泽县人力资源和社会保障局本级</w:t>
                  </w:r>
                </w:p>
              </w:tc>
              <w:tc>
                <w:tcPr>
                  <w:tcW w:w="1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年度资金总额</w:t>
                  </w:r>
                </w:p>
              </w:tc>
              <w:tc>
                <w:tcPr>
                  <w:tcW w:w="3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8682.000000</w:t>
                  </w:r>
                </w:p>
              </w:tc>
            </w:tr>
            <w:tr>
              <w:tblPrEx>
                <w:tblLayout w:type="fixed"/>
                <w:tblCellMar>
                  <w:top w:w="0" w:type="dxa"/>
                  <w:left w:w="0" w:type="dxa"/>
                  <w:bottom w:w="0" w:type="dxa"/>
                  <w:right w:w="0" w:type="dxa"/>
                </w:tblCellMar>
              </w:tblPrEx>
              <w:trPr>
                <w:trHeight w:val="365"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资金用途</w:t>
                  </w:r>
                </w:p>
              </w:tc>
              <w:tc>
                <w:tcPr>
                  <w:tcW w:w="1274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用于城乡居民养老保险中央基础养老金支出。</w:t>
                  </w:r>
                </w:p>
              </w:tc>
            </w:tr>
            <w:tr>
              <w:tblPrEx>
                <w:shd w:val="clear" w:color="auto" w:fill="auto"/>
                <w:tblLayout w:type="fixed"/>
                <w:tblCellMar>
                  <w:top w:w="0" w:type="dxa"/>
                  <w:left w:w="0" w:type="dxa"/>
                  <w:bottom w:w="0" w:type="dxa"/>
                  <w:right w:w="0" w:type="dxa"/>
                </w:tblCellMar>
              </w:tblPrEx>
              <w:trPr>
                <w:trHeight w:val="350"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资金支出计划</w:t>
                  </w:r>
                </w:p>
              </w:tc>
              <w:tc>
                <w:tcPr>
                  <w:tcW w:w="4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3月底</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6月底</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10月底</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12月底</w:t>
                  </w:r>
                </w:p>
              </w:tc>
            </w:tr>
            <w:tr>
              <w:tblPrEx>
                <w:tblLayout w:type="fixed"/>
                <w:tblCellMar>
                  <w:top w:w="0" w:type="dxa"/>
                  <w:left w:w="0" w:type="dxa"/>
                  <w:bottom w:w="0" w:type="dxa"/>
                  <w:right w:w="0" w:type="dxa"/>
                </w:tblCellMar>
              </w:tblPrEx>
              <w:trPr>
                <w:trHeight w:val="245"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(累计支出金额)</w:t>
                  </w:r>
                </w:p>
              </w:tc>
              <w:tc>
                <w:tcPr>
                  <w:tcW w:w="410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2171.000000</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4341.000000</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7236.000000</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8682.000000</w:t>
                  </w:r>
                </w:p>
              </w:tc>
            </w:tr>
            <w:tr>
              <w:tblPrEx>
                <w:tblLayout w:type="fixed"/>
                <w:tblCellMar>
                  <w:top w:w="0" w:type="dxa"/>
                  <w:left w:w="0" w:type="dxa"/>
                  <w:bottom w:w="0" w:type="dxa"/>
                  <w:right w:w="0" w:type="dxa"/>
                </w:tblCellMar>
              </w:tblPrEx>
              <w:trPr>
                <w:trHeight w:val="275"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年度绩效目标</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目标1</w:t>
                  </w:r>
                </w:p>
              </w:tc>
              <w:tc>
                <w:tcPr>
                  <w:tcW w:w="1121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确保符合条件的城乡老年居民基础养老金按时足额发放。</w:t>
                  </w:r>
                </w:p>
              </w:tc>
            </w:tr>
            <w:tr>
              <w:tblPrEx>
                <w:tblLayout w:type="fixed"/>
                <w:tblCellMar>
                  <w:top w:w="0" w:type="dxa"/>
                  <w:left w:w="0" w:type="dxa"/>
                  <w:bottom w:w="0" w:type="dxa"/>
                  <w:right w:w="0" w:type="dxa"/>
                </w:tblCellMar>
              </w:tblPrEx>
              <w:trPr>
                <w:trHeight w:val="45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一级指标</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二级指标</w:t>
                  </w:r>
                </w:p>
              </w:tc>
              <w:tc>
                <w:tcPr>
                  <w:tcW w:w="25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三级指标</w:t>
                  </w:r>
                </w:p>
              </w:tc>
              <w:tc>
                <w:tcPr>
                  <w:tcW w:w="352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指标说明</w:t>
                  </w:r>
                </w:p>
              </w:tc>
              <w:tc>
                <w:tcPr>
                  <w:tcW w:w="2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指标值</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指标确定依据</w:t>
                  </w:r>
                </w:p>
              </w:tc>
            </w:tr>
            <w:tr>
              <w:tblPrEx>
                <w:shd w:val="clear" w:color="auto" w:fill="auto"/>
                <w:tblLayout w:type="fixed"/>
                <w:tblCellMar>
                  <w:top w:w="0" w:type="dxa"/>
                  <w:left w:w="0" w:type="dxa"/>
                  <w:bottom w:w="0" w:type="dxa"/>
                  <w:right w:w="0" w:type="dxa"/>
                </w:tblCellMar>
              </w:tblPrEx>
              <w:trPr>
                <w:trHeight w:val="60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rPr>
                  </w:pPr>
                </w:p>
              </w:tc>
              <w:tc>
                <w:tcPr>
                  <w:tcW w:w="25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rPr>
                  </w:pPr>
                </w:p>
              </w:tc>
              <w:tc>
                <w:tcPr>
                  <w:tcW w:w="352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rPr>
                  </w:pP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符号</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值</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rPr>
                  </w:pPr>
                  <w:r>
                    <w:rPr>
                      <w:rFonts w:ascii="宋体" w:hAnsi="宋体" w:eastAsia="宋体" w:cs="Times New Roman"/>
                      <w:kern w:val="2"/>
                      <w:sz w:val="21"/>
                      <w:lang w:val="en-US" w:eastAsia="zh-CN"/>
                    </w:rPr>
                    <w:t>单位（文字描述）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rPr>
                  </w:pPr>
                </w:p>
              </w:tc>
            </w:tr>
            <w:tr>
              <w:tblPrEx>
                <w:shd w:val="clear" w:color="auto" w:fill="auto"/>
                <w:tblLayout w:type="fixed"/>
                <w:tblCellMar>
                  <w:top w:w="0" w:type="dxa"/>
                  <w:left w:w="0" w:type="dxa"/>
                  <w:bottom w:w="0" w:type="dxa"/>
                  <w:right w:w="0" w:type="dxa"/>
                </w:tblCellMar>
              </w:tblPrEx>
              <w:trPr>
                <w:trHeight w:val="54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产出指标</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数量指标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城乡居民养老保险待遇领取人数</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城乡居民养老保险60周岁以上领取待遇人数</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57250</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人</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冀财社〔2025〕107号</w:t>
                  </w:r>
                </w:p>
              </w:tc>
            </w:tr>
            <w:tr>
              <w:tblPrEx>
                <w:tblLayout w:type="fixed"/>
                <w:tblCellMar>
                  <w:top w:w="0" w:type="dxa"/>
                  <w:left w:w="0" w:type="dxa"/>
                  <w:bottom w:w="0" w:type="dxa"/>
                  <w:right w:w="0" w:type="dxa"/>
                </w:tblCellMar>
              </w:tblPrEx>
              <w:trPr>
                <w:trHeight w:val="58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质量指标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符合条件的城乡老年居民基础养老金足额发放率</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符合条件的城乡老年居民基础养老金足额发放率</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100</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冀财社〔2025〕107号</w:t>
                  </w:r>
                </w:p>
              </w:tc>
            </w:tr>
            <w:tr>
              <w:tblPrEx>
                <w:tblLayout w:type="fixed"/>
                <w:tblCellMar>
                  <w:top w:w="0" w:type="dxa"/>
                  <w:left w:w="0" w:type="dxa"/>
                  <w:bottom w:w="0" w:type="dxa"/>
                  <w:right w:w="0" w:type="dxa"/>
                </w:tblCellMar>
              </w:tblPrEx>
              <w:trPr>
                <w:trHeight w:val="52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时效指标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符合条件的城乡老年居民基础养老金按时发放率</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符合条件的城乡老年居民基础养老金按时发放率</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100</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冀财社〔2025〕107号</w:t>
                  </w:r>
                </w:p>
              </w:tc>
            </w:tr>
            <w:tr>
              <w:tblPrEx>
                <w:shd w:val="clear" w:color="auto" w:fill="auto"/>
                <w:tblLayout w:type="fixed"/>
                <w:tblCellMar>
                  <w:top w:w="0" w:type="dxa"/>
                  <w:left w:w="0" w:type="dxa"/>
                  <w:bottom w:w="0" w:type="dxa"/>
                  <w:right w:w="0" w:type="dxa"/>
                </w:tblCellMar>
              </w:tblPrEx>
              <w:trPr>
                <w:trHeight w:val="45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成本指标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项目预算控制额</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项目总成本</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8682</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万元</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冀财社〔2025〕107号</w:t>
                  </w:r>
                </w:p>
              </w:tc>
            </w:tr>
            <w:tr>
              <w:tblPrEx>
                <w:tblLayout w:type="fixed"/>
                <w:tblCellMar>
                  <w:top w:w="0" w:type="dxa"/>
                  <w:left w:w="0" w:type="dxa"/>
                  <w:bottom w:w="0" w:type="dxa"/>
                  <w:right w:w="0" w:type="dxa"/>
                </w:tblCellMar>
              </w:tblPrEx>
              <w:trPr>
                <w:trHeight w:val="45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效益指标</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经济效益指标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覆盖面</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享受补助覆盖面</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90</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冀财社〔2025〕107号</w:t>
                  </w:r>
                </w:p>
              </w:tc>
            </w:tr>
            <w:tr>
              <w:tblPrEx>
                <w:shd w:val="clear" w:color="auto" w:fill="auto"/>
                <w:tblLayout w:type="fixed"/>
                <w:tblCellMar>
                  <w:top w:w="0" w:type="dxa"/>
                  <w:left w:w="0" w:type="dxa"/>
                  <w:bottom w:w="0" w:type="dxa"/>
                  <w:right w:w="0" w:type="dxa"/>
                </w:tblCellMar>
              </w:tblPrEx>
              <w:trPr>
                <w:trHeight w:val="45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社会效益指标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城乡居民政策知晓率</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城乡居民政策知晓率</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90</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冀财社〔2025〕107号</w:t>
                  </w:r>
                </w:p>
              </w:tc>
            </w:tr>
            <w:tr>
              <w:tblPrEx>
                <w:tblLayout w:type="fixed"/>
                <w:tblCellMar>
                  <w:top w:w="0" w:type="dxa"/>
                  <w:left w:w="0" w:type="dxa"/>
                  <w:bottom w:w="0" w:type="dxa"/>
                  <w:right w:w="0" w:type="dxa"/>
                </w:tblCellMar>
              </w:tblPrEx>
              <w:trPr>
                <w:trHeight w:val="520"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满意度指标</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rPr>
                  </w:pPr>
                  <w:r>
                    <w:rPr>
                      <w:rFonts w:hint="eastAsia" w:ascii="宋体" w:hAnsi="宋体" w:eastAsia="宋体" w:cs="Times New Roman"/>
                      <w:kern w:val="2"/>
                      <w:sz w:val="21"/>
                      <w:lang w:val="en-US" w:eastAsia="zh-CN"/>
                    </w:rPr>
                    <w:t>服务对象满意度指标</w:t>
                  </w:r>
                </w:p>
              </w:tc>
              <w:tc>
                <w:tcPr>
                  <w:tcW w:w="25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参保人员满意度</w:t>
                  </w:r>
                </w:p>
              </w:tc>
              <w:tc>
                <w:tcPr>
                  <w:tcW w:w="3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参保人员满意度</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85</w:t>
                  </w:r>
                </w:p>
              </w:tc>
              <w:tc>
                <w:tcPr>
                  <w:tcW w:w="1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w:t>
                  </w:r>
                </w:p>
              </w:tc>
              <w:tc>
                <w:tcPr>
                  <w:tcW w:w="24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rPr>
                  </w:pPr>
                  <w:r>
                    <w:rPr>
                      <w:rFonts w:hint="default" w:ascii="宋体" w:hAnsi="宋体" w:eastAsia="宋体" w:cs="Times New Roman"/>
                      <w:kern w:val="2"/>
                      <w:sz w:val="21"/>
                      <w:lang w:val="en-US" w:eastAsia="zh-CN"/>
                    </w:rPr>
                    <w:t>调查问卷</w:t>
                  </w:r>
                </w:p>
              </w:tc>
            </w:tr>
          </w:tbl>
          <w:p>
            <w:pPr>
              <w:pStyle w:val="18"/>
            </w:pPr>
          </w:p>
        </w:tc>
      </w:tr>
    </w:tbl>
    <w:p>
      <w:pPr>
        <w:widowControl w:val="0"/>
        <w:adjustRightInd/>
        <w:snapToGrid w:val="0"/>
        <w:spacing w:after="0" w:line="240" w:lineRule="exact"/>
        <w:jc w:val="both"/>
        <w:rPr>
          <w:rFonts w:ascii="宋体" w:hAnsi="宋体" w:eastAsia="宋体" w:cs="Times New Roman"/>
          <w:kern w:val="2"/>
          <w:sz w:val="21"/>
        </w:rPr>
      </w:pPr>
    </w:p>
    <w:p>
      <w:pPr>
        <w:spacing w:before="0" w:after="0"/>
        <w:ind w:firstLine="560"/>
        <w:jc w:val="left"/>
        <w:outlineLvl w:val="9"/>
      </w:pP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年机关事业单位养老保险制度改革中央财政补助经费（冀财社〔202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64</w:t>
      </w:r>
      <w:r>
        <w:rPr>
          <w:rFonts w:ascii="方正仿宋_GBK" w:hAnsi="方正仿宋_GBK" w:eastAsia="方正仿宋_GBK" w:cs="方正仿宋_GBK"/>
          <w:color w:val="000000"/>
          <w:sz w:val="28"/>
        </w:rPr>
        <w:t>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
        <w:gridCol w:w="1550"/>
        <w:gridCol w:w="1797"/>
        <w:gridCol w:w="2571"/>
        <w:gridCol w:w="3427"/>
        <w:gridCol w:w="975"/>
        <w:gridCol w:w="930"/>
        <w:gridCol w:w="1200"/>
        <w:gridCol w:w="2370"/>
        <w:gridCol w:w="39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10"/>
            <w:tcBorders>
              <w:top w:val="single" w:color="FFFFFF" w:sz="6" w:space="0"/>
              <w:left w:val="single" w:color="FFFFFF" w:sz="6" w:space="0"/>
              <w:right w:val="single" w:color="FFFFFF" w:sz="6" w:space="0"/>
            </w:tcBorders>
            <w:noWrap w:val="0"/>
            <w:vAlign w:val="center"/>
          </w:tcPr>
          <w:p>
            <w:pPr>
              <w:pStyle w:val="18"/>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65" w:hRule="atLeast"/>
          <w:jc w:val="center"/>
        </w:trPr>
        <w:tc>
          <w:tcPr>
            <w:tcW w:w="33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项目编码及名称</w:t>
            </w:r>
          </w:p>
        </w:tc>
        <w:tc>
          <w:tcPr>
            <w:tcW w:w="59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hint="default" w:ascii="宋体" w:hAnsi="宋体" w:eastAsia="宋体" w:cs="Times New Roman"/>
                <w:kern w:val="2"/>
                <w:sz w:val="21"/>
                <w:lang w:val="en-US" w:eastAsia="zh-CN"/>
              </w:rPr>
              <w:t>13012826P00019710009P-2026年机关事业单位养老保险制度改革中央财政补助经费（冀财社〔2025〕164号）</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主管部门及代码</w:t>
            </w:r>
          </w:p>
        </w:tc>
        <w:tc>
          <w:tcPr>
            <w:tcW w:w="35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[323]深泽县人力资源和社会保障局</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380" w:hRule="atLeast"/>
          <w:jc w:val="center"/>
        </w:trPr>
        <w:tc>
          <w:tcPr>
            <w:tcW w:w="334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项目单位</w:t>
            </w:r>
          </w:p>
        </w:tc>
        <w:tc>
          <w:tcPr>
            <w:tcW w:w="59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323001-1]深泽县人力资源和社会保障局本级</w:t>
            </w:r>
          </w:p>
        </w:tc>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年度资金总额</w:t>
            </w:r>
          </w:p>
        </w:tc>
        <w:tc>
          <w:tcPr>
            <w:tcW w:w="35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1735.000000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40" w:hRule="atLeast"/>
          <w:jc w:val="center"/>
        </w:trPr>
        <w:tc>
          <w:tcPr>
            <w:tcW w:w="1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资金用途</w:t>
            </w:r>
          </w:p>
        </w:tc>
        <w:tc>
          <w:tcPr>
            <w:tcW w:w="132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用于机关事业养老保险改革制度中央基础养老金支出。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350" w:hRule="atLeast"/>
          <w:jc w:val="center"/>
        </w:trPr>
        <w:tc>
          <w:tcPr>
            <w:tcW w:w="1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资金支出计划</w:t>
            </w:r>
          </w:p>
        </w:tc>
        <w:tc>
          <w:tcPr>
            <w:tcW w:w="43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3月底</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6月底</w:t>
            </w:r>
          </w:p>
        </w:tc>
        <w:tc>
          <w:tcPr>
            <w:tcW w:w="3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10月底</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12月底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50" w:hRule="atLeast"/>
          <w:jc w:val="center"/>
        </w:trPr>
        <w:tc>
          <w:tcPr>
            <w:tcW w:w="1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(累计支出金额)</w:t>
            </w:r>
          </w:p>
        </w:tc>
        <w:tc>
          <w:tcPr>
            <w:tcW w:w="43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433.000000</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867.000000</w:t>
            </w:r>
          </w:p>
        </w:tc>
        <w:tc>
          <w:tcPr>
            <w:tcW w:w="3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1444.000000</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1735.000000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320" w:hRule="atLeast"/>
          <w:jc w:val="center"/>
        </w:trPr>
        <w:tc>
          <w:tcPr>
            <w:tcW w:w="1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年度绩效目标</w:t>
            </w: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目标1</w:t>
            </w:r>
          </w:p>
        </w:tc>
        <w:tc>
          <w:tcPr>
            <w:tcW w:w="1147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确保机关事业单位退休人员养老金按时足额发放。</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50" w:hRule="atLeast"/>
          <w:jc w:val="center"/>
        </w:trPr>
        <w:tc>
          <w:tcPr>
            <w:tcW w:w="15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一级指标</w:t>
            </w:r>
          </w:p>
        </w:tc>
        <w:tc>
          <w:tcPr>
            <w:tcW w:w="1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二级指标</w:t>
            </w:r>
          </w:p>
        </w:tc>
        <w:tc>
          <w:tcPr>
            <w:tcW w:w="2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三级指标</w:t>
            </w:r>
          </w:p>
        </w:tc>
        <w:tc>
          <w:tcPr>
            <w:tcW w:w="34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指标说明</w:t>
            </w:r>
          </w:p>
        </w:tc>
        <w:tc>
          <w:tcPr>
            <w:tcW w:w="31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指标值</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指标确定依据</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10" w:hRule="atLeast"/>
          <w:jc w:val="center"/>
        </w:trPr>
        <w:tc>
          <w:tcPr>
            <w:tcW w:w="15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34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符号</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单位（文字描述）</w:t>
            </w: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50" w:hRule="atLeast"/>
          <w:jc w:val="center"/>
        </w:trPr>
        <w:tc>
          <w:tcPr>
            <w:tcW w:w="15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产出指标</w:t>
            </w: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数量指标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基金补助人数</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机关事业养老保险退休人数</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3080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人</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70" w:hRule="atLeast"/>
          <w:jc w:val="center"/>
        </w:trPr>
        <w:tc>
          <w:tcPr>
            <w:tcW w:w="15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质量指标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机关事业单位退休人员养老金足额发放率</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机关事业单位退休人员养老金足额发放率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85" w:hRule="atLeast"/>
          <w:jc w:val="center"/>
        </w:trPr>
        <w:tc>
          <w:tcPr>
            <w:tcW w:w="15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时效指标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机关事业单位养老保险制度改革补助经费</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机关事业单位养老保险制度改革补助经费发放到位率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按时拨付到位</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320" w:hRule="atLeast"/>
          <w:jc w:val="center"/>
        </w:trPr>
        <w:tc>
          <w:tcPr>
            <w:tcW w:w="15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成本指标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财政补贴金额</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财政补贴金额</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1735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万元</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50" w:hRule="atLeast"/>
          <w:jc w:val="center"/>
        </w:trPr>
        <w:tc>
          <w:tcPr>
            <w:tcW w:w="15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效益指标</w:t>
            </w: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经济效益指标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基金补助覆盖面</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享受保险基金补助覆盖面</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50" w:hRule="atLeast"/>
          <w:jc w:val="center"/>
        </w:trPr>
        <w:tc>
          <w:tcPr>
            <w:tcW w:w="15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社会效益指标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保障参保人员基本生活</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保障参保人员基本生活</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效果显著</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450" w:hRule="atLeast"/>
          <w:jc w:val="center"/>
        </w:trPr>
        <w:tc>
          <w:tcPr>
            <w:tcW w:w="15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可持续影响指标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基本养老保险制度长期可持续</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基本养老保险制度长期可持续</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长期</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冀财社〔2025〕164号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6" w:type="dxa"/>
          <w:trHeight w:val="500" w:hRule="atLeast"/>
          <w:jc w:val="center"/>
        </w:trPr>
        <w:tc>
          <w:tcPr>
            <w:tcW w:w="1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满意度指标</w:t>
            </w:r>
          </w:p>
        </w:tc>
        <w:tc>
          <w:tcPr>
            <w:tcW w:w="1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服务对象满意度指标</w:t>
            </w:r>
          </w:p>
        </w:tc>
        <w:tc>
          <w:tcPr>
            <w:tcW w:w="25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参保人员满意度</w:t>
            </w:r>
          </w:p>
        </w:tc>
        <w:tc>
          <w:tcPr>
            <w:tcW w:w="34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享受保险基金补助人员满意度</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调查问卷</w:t>
            </w:r>
          </w:p>
        </w:tc>
      </w:tr>
    </w:tbl>
    <w:p>
      <w:pPr>
        <w:widowControl w:val="0"/>
        <w:adjustRightInd/>
        <w:snapToGrid w:val="0"/>
        <w:spacing w:after="0" w:line="240" w:lineRule="exact"/>
        <w:jc w:val="both"/>
        <w:rPr>
          <w:rFonts w:ascii="宋体" w:hAnsi="宋体" w:eastAsia="宋体" w:cs="Times New Roman"/>
          <w:kern w:val="2"/>
          <w:sz w:val="21"/>
        </w:rPr>
      </w:pPr>
    </w:p>
    <w:p>
      <w:pPr>
        <w:spacing w:before="0" w:after="0"/>
        <w:ind w:firstLine="560"/>
        <w:jc w:val="left"/>
        <w:outlineLvl w:val="9"/>
      </w:pPr>
      <w:r>
        <w:rPr>
          <w:rFonts w:hint="eastAsia" w:ascii="方正仿宋_GBK" w:hAnsi="方正仿宋_GBK" w:eastAsia="方正仿宋_GBK" w:cs="方正仿宋_GBK"/>
          <w:color w:val="000000"/>
          <w:sz w:val="28"/>
        </w:rPr>
        <w:t>衔接推进乡村振兴资金</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en-US" w:eastAsia="zh-CN"/>
        </w:rPr>
        <w:t>县级</w:t>
      </w:r>
      <w:r>
        <w:rPr>
          <w:rFonts w:ascii="方正仿宋_GBK" w:hAnsi="方正仿宋_GBK" w:eastAsia="方正仿宋_GBK" w:cs="方正仿宋_GBK"/>
          <w:color w:val="000000"/>
          <w:sz w:val="28"/>
        </w:rPr>
        <w:t>）绩效目标表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
        <w:gridCol w:w="1607"/>
        <w:gridCol w:w="1098"/>
        <w:gridCol w:w="1380"/>
        <w:gridCol w:w="4020"/>
        <w:gridCol w:w="465"/>
        <w:gridCol w:w="465"/>
        <w:gridCol w:w="4320"/>
        <w:gridCol w:w="1485"/>
        <w:gridCol w:w="3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10"/>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55" w:hRule="atLeast"/>
          <w:jc w:val="center"/>
        </w:trPr>
        <w:tc>
          <w:tcPr>
            <w:tcW w:w="27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项目编码及名称</w:t>
            </w:r>
          </w:p>
        </w:tc>
        <w:tc>
          <w:tcPr>
            <w:tcW w:w="5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hint="default" w:ascii="宋体" w:hAnsi="宋体" w:eastAsia="宋体" w:cs="Times New Roman"/>
                <w:kern w:val="2"/>
                <w:sz w:val="21"/>
                <w:lang w:val="en-US" w:eastAsia="zh-CN"/>
              </w:rPr>
              <w:t>13012826P00000210019E-衔接推进乡村振兴资金</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主管部门及代码</w:t>
            </w:r>
          </w:p>
        </w:tc>
        <w:tc>
          <w:tcPr>
            <w:tcW w:w="58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[326]深泽县农业农村局</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90" w:hRule="atLeast"/>
          <w:jc w:val="center"/>
        </w:trPr>
        <w:tc>
          <w:tcPr>
            <w:tcW w:w="27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项目单位</w:t>
            </w:r>
          </w:p>
        </w:tc>
        <w:tc>
          <w:tcPr>
            <w:tcW w:w="5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326001-1]深泽县农业农村局本级</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年度资金总额</w:t>
            </w:r>
          </w:p>
        </w:tc>
        <w:tc>
          <w:tcPr>
            <w:tcW w:w="58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1710.000000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60" w:hRule="atLeast"/>
          <w:jc w:val="center"/>
        </w:trPr>
        <w:tc>
          <w:tcPr>
            <w:tcW w:w="1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资金用途</w:t>
            </w:r>
          </w:p>
        </w:tc>
        <w:tc>
          <w:tcPr>
            <w:tcW w:w="1323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投入产业项目，增加衔接资金收益。收益金用于增加脱贫户和监测对象收入，巩固拓展脱贫攻坚成果。</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95" w:hRule="atLeast"/>
          <w:jc w:val="center"/>
        </w:trPr>
        <w:tc>
          <w:tcPr>
            <w:tcW w:w="1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资金支出计划</w:t>
            </w:r>
          </w:p>
        </w:tc>
        <w:tc>
          <w:tcPr>
            <w:tcW w:w="24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3月底</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6月底</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10月底</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12月底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00" w:hRule="atLeast"/>
          <w:jc w:val="center"/>
        </w:trPr>
        <w:tc>
          <w:tcPr>
            <w:tcW w:w="1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(累计支出金额)</w:t>
            </w:r>
          </w:p>
        </w:tc>
        <w:tc>
          <w:tcPr>
            <w:tcW w:w="24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400.000000</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800.000000</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1200.000000</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1710.000000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450" w:hRule="atLeast"/>
          <w:jc w:val="center"/>
        </w:trPr>
        <w:tc>
          <w:tcPr>
            <w:tcW w:w="16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年度绩效目标</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目标1</w:t>
            </w:r>
          </w:p>
        </w:tc>
        <w:tc>
          <w:tcPr>
            <w:tcW w:w="121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收益金用于增加脱贫户和监测对象收入，巩固拓展脱贫攻坚成果。</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450"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目标2</w:t>
            </w:r>
          </w:p>
        </w:tc>
        <w:tc>
          <w:tcPr>
            <w:tcW w:w="121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投入产业项目，增加衔接资金收益。</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90" w:hRule="atLeast"/>
          <w:jc w:val="center"/>
        </w:trPr>
        <w:tc>
          <w:tcPr>
            <w:tcW w:w="16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一级指标</w:t>
            </w:r>
          </w:p>
        </w:tc>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二级指标</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三级指标</w:t>
            </w:r>
          </w:p>
        </w:tc>
        <w:tc>
          <w:tcPr>
            <w:tcW w:w="4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指标说明</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指标值</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指标确定依据</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215"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4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符号</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值</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单位（文字描述）</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440" w:hRule="atLeast"/>
          <w:jc w:val="center"/>
        </w:trPr>
        <w:tc>
          <w:tcPr>
            <w:tcW w:w="16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产出指标</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数量指标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数量</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投入环泽、环畅公司用于实施资产收益项目，收益金用于脱贫人口及监测对象增收。</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投入环泽、环畅公司用于实施资产收益项目，收益金用于脱贫人口及监测对象增收。</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490"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质量指标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质量</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增加脱贫人口和监测对象收入，提高群众满意度</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增加脱贫人口和监测对象收入，提高群众满意度</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350"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时效指标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完成时限</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及时足额发放</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100</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及时足额发放</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305"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成本指标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成本</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1710万元</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100</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1710万元</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450" w:hRule="atLeast"/>
          <w:jc w:val="center"/>
        </w:trPr>
        <w:tc>
          <w:tcPr>
            <w:tcW w:w="16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效益指标</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经济效益指标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经济效益指标</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保障公益岗保洁员工资，增加脱贫人口及监测对象收入</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保障公益岗保洁员工资，增加脱贫人口及监测对象收入</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530"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社会效益指标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社会效益指标</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带动脱贫人口和监测对象持续增收，巩固拓展脱贫攻坚成果</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带动脱贫人口和监测对象持续增收，巩固拓展脱贫攻坚成果</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350"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生态效益指标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生态效益指标</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改善人居环境，提高群众满意度</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改善人居环境，提高群众满意度</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380" w:hRule="atLeast"/>
          <w:jc w:val="center"/>
        </w:trPr>
        <w:tc>
          <w:tcPr>
            <w:tcW w:w="16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可持续影响指标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可持续影响</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兜牢民生底线</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兜牢民生底线</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76" w:type="dxa"/>
          <w:trHeight w:val="305" w:hRule="atLeast"/>
          <w:jc w:val="center"/>
        </w:trPr>
        <w:tc>
          <w:tcPr>
            <w:tcW w:w="16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满意度指标</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满意度</w:t>
            </w:r>
          </w:p>
        </w:tc>
        <w:tc>
          <w:tcPr>
            <w:tcW w:w="4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群众满意度95%以上</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4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群众满意度95%以上</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实施方案、工作任务</w:t>
            </w:r>
          </w:p>
        </w:tc>
      </w:tr>
    </w:tbl>
    <w:p>
      <w:pPr>
        <w:spacing w:before="0" w:after="0"/>
        <w:ind w:firstLine="560"/>
        <w:jc w:val="left"/>
        <w:outlineLvl w:val="9"/>
      </w:pPr>
      <w:r>
        <w:rPr>
          <w:rFonts w:hint="eastAsia" w:ascii="方正仿宋_GBK" w:hAnsi="方正仿宋_GBK" w:eastAsia="方正仿宋_GBK" w:cs="方正仿宋_GBK"/>
          <w:color w:val="000000"/>
          <w:sz w:val="28"/>
          <w:lang w:val="en-US" w:eastAsia="zh-CN"/>
        </w:rPr>
        <w:t>2026年</w:t>
      </w:r>
      <w:r>
        <w:rPr>
          <w:rFonts w:hint="eastAsia" w:ascii="方正仿宋_GBK" w:hAnsi="方正仿宋_GBK" w:eastAsia="方正仿宋_GBK" w:cs="方正仿宋_GBK"/>
          <w:color w:val="000000"/>
          <w:sz w:val="28"/>
        </w:rPr>
        <w:t>产业基础再造和制造业高质量发展专项资金</w:t>
      </w:r>
      <w:r>
        <w:rPr>
          <w:rFonts w:ascii="方正仿宋_GBK" w:hAnsi="方正仿宋_GBK" w:eastAsia="方正仿宋_GBK" w:cs="方正仿宋_GBK"/>
          <w:color w:val="000000"/>
          <w:sz w:val="28"/>
        </w:rPr>
        <w:t>（冀财</w:t>
      </w:r>
      <w:r>
        <w:rPr>
          <w:rFonts w:hint="eastAsia" w:ascii="方正仿宋_GBK" w:hAnsi="方正仿宋_GBK" w:eastAsia="方正仿宋_GBK" w:cs="方正仿宋_GBK"/>
          <w:color w:val="000000"/>
          <w:sz w:val="28"/>
          <w:lang w:val="en-US" w:eastAsia="zh-CN"/>
        </w:rPr>
        <w:t>建</w:t>
      </w: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92</w:t>
      </w:r>
      <w:r>
        <w:rPr>
          <w:rFonts w:ascii="方正仿宋_GBK" w:hAnsi="方正仿宋_GBK" w:eastAsia="方正仿宋_GBK" w:cs="方正仿宋_GBK"/>
          <w:color w:val="000000"/>
          <w:sz w:val="28"/>
        </w:rPr>
        <w:t>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
        <w:gridCol w:w="1520"/>
        <w:gridCol w:w="2025"/>
        <w:gridCol w:w="2670"/>
        <w:gridCol w:w="3960"/>
        <w:gridCol w:w="990"/>
        <w:gridCol w:w="615"/>
        <w:gridCol w:w="1635"/>
        <w:gridCol w:w="1395"/>
        <w:gridCol w:w="40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10"/>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670" w:hRule="atLeast"/>
          <w:jc w:val="center"/>
        </w:trPr>
        <w:tc>
          <w:tcPr>
            <w:tcW w:w="3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项目编码及名称</w:t>
            </w:r>
          </w:p>
        </w:tc>
        <w:tc>
          <w:tcPr>
            <w:tcW w:w="66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hint="default" w:ascii="宋体" w:hAnsi="宋体" w:eastAsia="宋体" w:cs="Times New Roman"/>
                <w:kern w:val="2"/>
                <w:sz w:val="21"/>
                <w:lang w:val="en-US" w:eastAsia="zh-CN"/>
              </w:rPr>
              <w:t>13012826P00101310002Q-河北省财政厅关于下达2026年产业基础再造和制造业高质量发展专项资金预算的通知</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主管部门及代码</w:t>
            </w:r>
          </w:p>
        </w:tc>
        <w:tc>
          <w:tcPr>
            <w:tcW w:w="30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[306]深泽县科学技术和工业信息化局</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496" w:hRule="atLeast"/>
          <w:jc w:val="center"/>
        </w:trPr>
        <w:tc>
          <w:tcPr>
            <w:tcW w:w="35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项目单位</w:t>
            </w:r>
          </w:p>
        </w:tc>
        <w:tc>
          <w:tcPr>
            <w:tcW w:w="66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306001-1]深泽县科学技术和工业信息化局本级</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年度资金总额</w:t>
            </w:r>
          </w:p>
        </w:tc>
        <w:tc>
          <w:tcPr>
            <w:tcW w:w="30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1575.000000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90" w:hRule="atLeast"/>
          <w:jc w:val="center"/>
        </w:trPr>
        <w:tc>
          <w:tcPr>
            <w:tcW w:w="1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资金用途</w:t>
            </w:r>
          </w:p>
        </w:tc>
        <w:tc>
          <w:tcPr>
            <w:tcW w:w="1329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引导产业基础再造和制造业高质量发展。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65" w:hRule="atLeast"/>
          <w:jc w:val="center"/>
        </w:trPr>
        <w:tc>
          <w:tcPr>
            <w:tcW w:w="1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资金支出计划</w:t>
            </w:r>
          </w:p>
        </w:tc>
        <w:tc>
          <w:tcPr>
            <w:tcW w:w="46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3月底</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6月底</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10月底</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12月底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65" w:hRule="atLeast"/>
          <w:jc w:val="center"/>
        </w:trPr>
        <w:tc>
          <w:tcPr>
            <w:tcW w:w="1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(累计支出金额)</w:t>
            </w:r>
          </w:p>
        </w:tc>
        <w:tc>
          <w:tcPr>
            <w:tcW w:w="46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1575.000000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91" w:hRule="atLeast"/>
          <w:jc w:val="center"/>
        </w:trPr>
        <w:tc>
          <w:tcPr>
            <w:tcW w:w="1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年度绩效目标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目标1</w:t>
            </w:r>
          </w:p>
        </w:tc>
        <w:tc>
          <w:tcPr>
            <w:tcW w:w="112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引导产业基础再造和制造业高质量发展。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450" w:hRule="atLeast"/>
          <w:jc w:val="center"/>
        </w:trPr>
        <w:tc>
          <w:tcPr>
            <w:tcW w:w="15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一级指标</w:t>
            </w:r>
          </w:p>
        </w:tc>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二级指标</w:t>
            </w:r>
          </w:p>
        </w:tc>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三级指标</w:t>
            </w:r>
          </w:p>
        </w:tc>
        <w:tc>
          <w:tcPr>
            <w:tcW w:w="39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指标说明</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指标值</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指标确定依据</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295" w:hRule="atLeast"/>
          <w:jc w:val="center"/>
        </w:trPr>
        <w:tc>
          <w:tcPr>
            <w:tcW w:w="15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39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符号</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值</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单位（文字描述）</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590" w:hRule="atLeast"/>
          <w:jc w:val="center"/>
        </w:trPr>
        <w:tc>
          <w:tcPr>
            <w:tcW w:w="15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产出指标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数量指标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项目实施数量</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重点支持产业基础再造和制造业高质量发展专项资金支持数量</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个</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40" w:hRule="atLeast"/>
          <w:jc w:val="center"/>
        </w:trPr>
        <w:tc>
          <w:tcPr>
            <w:tcW w:w="15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质量指标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符合产业结构调整指导目录</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产业结构调整指导目录鼓励类项目</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符合目录标准</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75" w:hRule="atLeast"/>
          <w:jc w:val="center"/>
        </w:trPr>
        <w:tc>
          <w:tcPr>
            <w:tcW w:w="15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时效指标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专项资金拨付及时率</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专项资金拨付及时率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90</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435" w:hRule="atLeast"/>
          <w:jc w:val="center"/>
        </w:trPr>
        <w:tc>
          <w:tcPr>
            <w:tcW w:w="15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成本指标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资金额度可控</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专项资金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1575</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万元</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95" w:hRule="atLeast"/>
          <w:jc w:val="center"/>
        </w:trPr>
        <w:tc>
          <w:tcPr>
            <w:tcW w:w="15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效益指标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社会效益指标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社会效益指标</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专项资金实现拉动社会投资</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显著</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380" w:hRule="atLeast"/>
          <w:jc w:val="center"/>
        </w:trPr>
        <w:tc>
          <w:tcPr>
            <w:tcW w:w="15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经济效益指标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对经济社会发展的影响</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技改项目企业对经济社会发展的影响</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显著</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06" w:type="dxa"/>
          <w:trHeight w:val="560" w:hRule="atLeast"/>
          <w:jc w:val="center"/>
        </w:trPr>
        <w:tc>
          <w:tcPr>
            <w:tcW w:w="1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满意度指标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服务对象满意度指标</w:t>
            </w:r>
          </w:p>
        </w:tc>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企业满意度</w:t>
            </w:r>
          </w:p>
        </w:tc>
        <w:tc>
          <w:tcPr>
            <w:tcW w:w="39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对扶持企业进行满意度调查</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90</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工作计划</w:t>
            </w:r>
          </w:p>
        </w:tc>
      </w:tr>
    </w:tbl>
    <w:p>
      <w:pPr>
        <w:widowControl w:val="0"/>
        <w:adjustRightInd/>
        <w:snapToGrid w:val="0"/>
        <w:spacing w:after="0" w:line="240" w:lineRule="exact"/>
        <w:jc w:val="both"/>
        <w:rPr>
          <w:rFonts w:ascii="宋体" w:hAnsi="宋体" w:eastAsia="宋体" w:cs="Times New Roman"/>
          <w:kern w:val="2"/>
          <w:sz w:val="21"/>
        </w:rPr>
      </w:pPr>
    </w:p>
    <w:p>
      <w:pPr>
        <w:widowControl w:val="0"/>
        <w:adjustRightInd/>
        <w:snapToGrid w:val="0"/>
        <w:spacing w:after="0" w:line="240" w:lineRule="exact"/>
        <w:jc w:val="both"/>
        <w:rPr>
          <w:rFonts w:ascii="宋体" w:hAnsi="宋体" w:eastAsia="宋体" w:cs="Times New Roman"/>
          <w:kern w:val="2"/>
          <w:sz w:val="21"/>
        </w:rPr>
      </w:pPr>
    </w:p>
    <w:p>
      <w:pPr>
        <w:widowControl w:val="0"/>
        <w:adjustRightInd/>
        <w:snapToGrid w:val="0"/>
        <w:spacing w:after="0" w:line="240" w:lineRule="exact"/>
        <w:jc w:val="both"/>
        <w:rPr>
          <w:rFonts w:ascii="宋体" w:hAnsi="宋体" w:eastAsia="宋体" w:cs="Times New Roman"/>
          <w:kern w:val="2"/>
          <w:sz w:val="21"/>
        </w:rPr>
      </w:pPr>
    </w:p>
    <w:p>
      <w:pPr>
        <w:spacing w:before="0" w:after="0"/>
        <w:ind w:firstLine="560"/>
        <w:jc w:val="left"/>
        <w:outlineLvl w:val="9"/>
        <w:rPr>
          <w:rFonts w:hint="eastAsia" w:ascii="方正仿宋_GBK" w:hAnsi="方正仿宋_GBK" w:eastAsia="方正仿宋_GBK" w:cs="方正仿宋_GBK"/>
          <w:color w:val="000000"/>
          <w:sz w:val="28"/>
        </w:rPr>
      </w:pPr>
    </w:p>
    <w:p>
      <w:pPr>
        <w:spacing w:before="0" w:after="0"/>
        <w:ind w:firstLine="560"/>
        <w:jc w:val="left"/>
        <w:outlineLvl w:val="9"/>
      </w:pPr>
      <w:r>
        <w:rPr>
          <w:rFonts w:hint="eastAsia" w:ascii="方正仿宋_GBK" w:hAnsi="方正仿宋_GBK" w:eastAsia="方正仿宋_GBK" w:cs="方正仿宋_GBK"/>
          <w:color w:val="000000"/>
          <w:sz w:val="28"/>
        </w:rPr>
        <w:t>2026年中央优抚对象补助经费</w:t>
      </w:r>
      <w:r>
        <w:rPr>
          <w:rFonts w:ascii="方正仿宋_GBK" w:hAnsi="方正仿宋_GBK" w:eastAsia="方正仿宋_GBK" w:cs="方正仿宋_GBK"/>
          <w:color w:val="000000"/>
          <w:sz w:val="28"/>
        </w:rPr>
        <w:t>（冀财社〔202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11</w:t>
      </w:r>
      <w:r>
        <w:rPr>
          <w:rFonts w:ascii="方正仿宋_GBK" w:hAnsi="方正仿宋_GBK" w:eastAsia="方正仿宋_GBK" w:cs="方正仿宋_GBK"/>
          <w:color w:val="000000"/>
          <w:sz w:val="28"/>
        </w:rPr>
        <w:t>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
        <w:gridCol w:w="1713"/>
        <w:gridCol w:w="1713"/>
        <w:gridCol w:w="2504"/>
        <w:gridCol w:w="3360"/>
        <w:gridCol w:w="1182"/>
        <w:gridCol w:w="675"/>
        <w:gridCol w:w="1983"/>
        <w:gridCol w:w="1665"/>
        <w:gridCol w:w="42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10"/>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34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项目编码及名称</w:t>
            </w:r>
          </w:p>
        </w:tc>
        <w:tc>
          <w:tcPr>
            <w:tcW w:w="58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13012826P000243100081-提前下达2026年中央优抚对象补助经费预算(第一批) 冀财社〔2025〕111号</w:t>
            </w:r>
          </w:p>
        </w:tc>
        <w:tc>
          <w:tcPr>
            <w:tcW w:w="18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主管部门及代码</w:t>
            </w:r>
          </w:p>
        </w:tc>
        <w:tc>
          <w:tcPr>
            <w:tcW w:w="36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[321]深泽县退役军人事务局</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34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项目单位</w:t>
            </w:r>
          </w:p>
        </w:tc>
        <w:tc>
          <w:tcPr>
            <w:tcW w:w="58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321001-1]深泽县退役军人事务局本级</w:t>
            </w:r>
          </w:p>
        </w:tc>
        <w:tc>
          <w:tcPr>
            <w:tcW w:w="185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年度资金总额</w:t>
            </w:r>
          </w:p>
        </w:tc>
        <w:tc>
          <w:tcPr>
            <w:tcW w:w="36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2090.000000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675" w:hRule="atLeast"/>
          <w:jc w:val="center"/>
        </w:trPr>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资金用途</w:t>
            </w:r>
          </w:p>
        </w:tc>
        <w:tc>
          <w:tcPr>
            <w:tcW w:w="1308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有效保障优抚对象等人员的基本生活，体现对该群体的社会尊崇。</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资金支出计划</w:t>
            </w:r>
          </w:p>
        </w:tc>
        <w:tc>
          <w:tcPr>
            <w:tcW w:w="42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3月底</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6月底</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10月底</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12月底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(累计支出金额)</w:t>
            </w:r>
          </w:p>
        </w:tc>
        <w:tc>
          <w:tcPr>
            <w:tcW w:w="42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2090.000000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年度绩效目标</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目标1</w:t>
            </w:r>
          </w:p>
        </w:tc>
        <w:tc>
          <w:tcPr>
            <w:tcW w:w="1136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有效保障优抚对象等人员的基本生活，体现对该群体的社会尊崇。</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一级指标</w:t>
            </w:r>
          </w:p>
        </w:tc>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二级指标</w:t>
            </w:r>
          </w:p>
        </w:tc>
        <w:tc>
          <w:tcPr>
            <w:tcW w:w="25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三级指标</w:t>
            </w:r>
          </w:p>
        </w:tc>
        <w:tc>
          <w:tcPr>
            <w:tcW w:w="3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指标说明</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指标值</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指标确定依据</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5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3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符号</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值</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单位（文字描述）</w:t>
            </w:r>
          </w:p>
        </w:tc>
        <w:tc>
          <w:tcPr>
            <w:tcW w:w="16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产出指标</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数量指标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优抚对象抚恤和生活补助资金发放人数</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优抚对象抚恤和生活补助资金发放人数</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文字描述</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按照当年审定人数确定</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按照当年审定人数确定</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质量指标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经费足额拨付率</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经费足额拨付率</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根据工作计划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560" w:hRule="atLeast"/>
          <w:jc w:val="center"/>
        </w:trPr>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时效指标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优抚对象抚恤和生活补助资金及时拨付率</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优抚对象抚恤和生活补助资金及时拨付率</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根据工作计划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590" w:hRule="atLeast"/>
          <w:jc w:val="center"/>
        </w:trPr>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成本指标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优抚对象抚恤和生活补助资金成本</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优抚对象抚恤和生活补助资金成本</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100</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根据工作计划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效益指标</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经济效益指标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优抚对象生活情况</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优抚对象生活情况</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文字描述</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有效改善</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根据工作计划</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450" w:hRule="atLeast"/>
          <w:jc w:val="center"/>
        </w:trPr>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社会效益指标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不涉及</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不涉及</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文字描述</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不涉及</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不涉及</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421" w:type="dxa"/>
          <w:trHeight w:val="600" w:hRule="atLeast"/>
          <w:jc w:val="center"/>
        </w:trPr>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满意度指标</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服务对象满意度指标</w:t>
            </w:r>
          </w:p>
        </w:tc>
        <w:tc>
          <w:tcPr>
            <w:tcW w:w="25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90</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w:t>
            </w:r>
          </w:p>
        </w:tc>
      </w:tr>
    </w:tbl>
    <w:p>
      <w:pPr>
        <w:spacing w:before="0" w:after="0"/>
        <w:ind w:firstLine="560"/>
        <w:jc w:val="left"/>
        <w:outlineLvl w:val="9"/>
        <w:rPr>
          <w:rFonts w:hint="eastAsia" w:ascii="方正仿宋_GBK" w:hAnsi="方正仿宋_GBK" w:eastAsia="方正仿宋_GBK" w:cs="方正仿宋_GBK"/>
          <w:color w:val="000000"/>
          <w:sz w:val="28"/>
        </w:rPr>
      </w:pPr>
    </w:p>
    <w:p>
      <w:pPr>
        <w:spacing w:before="0" w:after="0"/>
        <w:ind w:firstLine="560"/>
        <w:jc w:val="left"/>
        <w:outlineLvl w:val="9"/>
      </w:pPr>
      <w:r>
        <w:rPr>
          <w:rFonts w:hint="eastAsia" w:ascii="方正仿宋_GBK" w:hAnsi="方正仿宋_GBK" w:eastAsia="方正仿宋_GBK" w:cs="方正仿宋_GBK"/>
          <w:color w:val="000000"/>
          <w:sz w:val="28"/>
        </w:rPr>
        <w:t>城乡居民基本医疗保险</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en-US" w:eastAsia="zh-CN"/>
        </w:rPr>
        <w:t>县级</w:t>
      </w:r>
      <w:r>
        <w:rPr>
          <w:rFonts w:ascii="方正仿宋_GBK" w:hAnsi="方正仿宋_GBK" w:eastAsia="方正仿宋_GBK" w:cs="方正仿宋_GBK"/>
          <w:color w:val="000000"/>
          <w:sz w:val="28"/>
        </w:rPr>
        <w:t>）绩效目标表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3"/>
        <w:gridCol w:w="1594"/>
        <w:gridCol w:w="2146"/>
        <w:gridCol w:w="2175"/>
        <w:gridCol w:w="2280"/>
        <w:gridCol w:w="1064"/>
        <w:gridCol w:w="466"/>
        <w:gridCol w:w="1995"/>
        <w:gridCol w:w="3105"/>
        <w:gridCol w:w="391"/>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10"/>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20" w:hRule="atLeast"/>
          <w:jc w:val="center"/>
        </w:trPr>
        <w:tc>
          <w:tcPr>
            <w:tcW w:w="37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项目编码及名称</w:t>
            </w:r>
          </w:p>
        </w:tc>
        <w:tc>
          <w:tcPr>
            <w:tcW w:w="44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hint="default" w:ascii="宋体" w:hAnsi="宋体" w:eastAsia="宋体" w:cs="Times New Roman"/>
                <w:kern w:val="2"/>
                <w:sz w:val="21"/>
                <w:lang w:val="en-US" w:eastAsia="zh-CN"/>
              </w:rPr>
              <w:t>13012826P00019910003D-城乡居民基本医疗保险</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主管部门及代码</w:t>
            </w:r>
          </w:p>
        </w:tc>
        <w:tc>
          <w:tcPr>
            <w:tcW w:w="5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[331]深泽县医疗保障局</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37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项目单位</w:t>
            </w:r>
          </w:p>
        </w:tc>
        <w:tc>
          <w:tcPr>
            <w:tcW w:w="44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331001-1]深泽县医疗保障局本级</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年度资金总额</w:t>
            </w:r>
          </w:p>
        </w:tc>
        <w:tc>
          <w:tcPr>
            <w:tcW w:w="5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2821.170000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320" w:hRule="atLeast"/>
          <w:jc w:val="center"/>
        </w:trPr>
        <w:tc>
          <w:tcPr>
            <w:tcW w:w="1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资金用途</w:t>
            </w:r>
          </w:p>
        </w:tc>
        <w:tc>
          <w:tcPr>
            <w:tcW w:w="1323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城乡居民医疗保险</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资金支出计划</w:t>
            </w:r>
          </w:p>
        </w:tc>
        <w:tc>
          <w:tcPr>
            <w:tcW w:w="43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3月底</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6月底</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10月底</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12月底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260" w:hRule="atLeast"/>
          <w:jc w:val="center"/>
        </w:trPr>
        <w:tc>
          <w:tcPr>
            <w:tcW w:w="1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(累计支出金额)</w:t>
            </w:r>
          </w:p>
        </w:tc>
        <w:tc>
          <w:tcPr>
            <w:tcW w:w="43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705.250000</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1410.500000</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2115.750000</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2821.170000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年度绩效目标</w:t>
            </w: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目标1</w:t>
            </w:r>
          </w:p>
        </w:tc>
        <w:tc>
          <w:tcPr>
            <w:tcW w:w="110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巩固参保率，稳步提高保障水平</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一级指标</w:t>
            </w:r>
          </w:p>
        </w:tc>
        <w:tc>
          <w:tcPr>
            <w:tcW w:w="21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二级指标</w:t>
            </w:r>
          </w:p>
        </w:tc>
        <w:tc>
          <w:tcPr>
            <w:tcW w:w="21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三级指标</w:t>
            </w:r>
          </w:p>
        </w:tc>
        <w:tc>
          <w:tcPr>
            <w:tcW w:w="22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指标说明</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指标值</w:t>
            </w:r>
          </w:p>
        </w:tc>
        <w:tc>
          <w:tcPr>
            <w:tcW w:w="31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指标确定依据</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9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1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1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符号</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值</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ascii="宋体" w:hAnsi="宋体" w:eastAsia="宋体" w:cs="Times New Roman"/>
                <w:kern w:val="2"/>
                <w:sz w:val="21"/>
                <w:lang w:val="en-US" w:eastAsia="zh-CN"/>
              </w:rPr>
            </w:pPr>
            <w:r>
              <w:rPr>
                <w:rFonts w:ascii="宋体" w:hAnsi="宋体" w:eastAsia="宋体" w:cs="Times New Roman"/>
                <w:kern w:val="2"/>
                <w:sz w:val="21"/>
                <w:lang w:val="en-US" w:eastAsia="zh-CN"/>
              </w:rPr>
              <w:t>单位（文字描述）</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eastAsia" w:ascii="宋体" w:hAnsi="宋体" w:eastAsia="宋体" w:cs="Times New Roman"/>
                <w:kern w:val="2"/>
                <w:sz w:val="21"/>
                <w:lang w:val="en-US" w:eastAsia="zh-CN"/>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产出指标</w:t>
            </w: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数量指标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贫困人口参保率</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贫困人口参保率</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是或否</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质量指标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重复参保人数</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重复参保人数</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0.00</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时效指标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定点协议医疗机构住院</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定点协议医疗机构住院</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是或否</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成本指标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2026年财政补助标准</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2026年财政补助标准</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720</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元</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效益指标</w:t>
            </w: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经济效益指标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减轻负担</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减轻负担</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是或否</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社会效益指标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社会稳定</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社会稳定</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是或否</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生态效益指标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对医保体系影响</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对医保体系影响</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是或否</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450" w:hRule="atLeast"/>
          <w:jc w:val="center"/>
        </w:trPr>
        <w:tc>
          <w:tcPr>
            <w:tcW w:w="15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可持续影响指标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稳定参保率</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稳定参保率</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文字描述</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是或否</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shd w:val="clear" w:color="auto" w:fill="auto"/>
          <w:tblLayout w:type="fixed"/>
          <w:tblCellMar>
            <w:top w:w="0" w:type="dxa"/>
            <w:left w:w="0" w:type="dxa"/>
            <w:bottom w:w="0" w:type="dxa"/>
            <w:right w:w="0" w:type="dxa"/>
          </w:tblCellMar>
        </w:tblPrEx>
        <w:trPr>
          <w:gridBefore w:val="1"/>
          <w:gridAfter w:val="1"/>
          <w:wBefore w:w="93" w:type="dxa"/>
          <w:wAfter w:w="391" w:type="dxa"/>
          <w:trHeight w:val="600" w:hRule="atLeast"/>
          <w:jc w:val="center"/>
        </w:trPr>
        <w:tc>
          <w:tcPr>
            <w:tcW w:w="1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满意度指标</w:t>
            </w:r>
          </w:p>
        </w:tc>
        <w:tc>
          <w:tcPr>
            <w:tcW w:w="2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val="0"/>
              <w:adjustRightInd/>
              <w:snapToGrid w:val="0"/>
              <w:spacing w:after="0" w:line="240" w:lineRule="exact"/>
              <w:jc w:val="both"/>
              <w:rPr>
                <w:rFonts w:hint="eastAsia" w:ascii="宋体" w:hAnsi="宋体" w:eastAsia="宋体" w:cs="Times New Roman"/>
                <w:kern w:val="2"/>
                <w:sz w:val="21"/>
                <w:lang w:val="en-US" w:eastAsia="zh-CN"/>
              </w:rPr>
            </w:pPr>
            <w:r>
              <w:rPr>
                <w:rFonts w:hint="eastAsia" w:ascii="宋体" w:hAnsi="宋体" w:eastAsia="宋体" w:cs="Times New Roman"/>
                <w:kern w:val="2"/>
                <w:sz w:val="21"/>
                <w:lang w:val="en-US" w:eastAsia="zh-CN"/>
              </w:rPr>
              <w:t>服务对象满意度指标</w:t>
            </w:r>
          </w:p>
        </w:tc>
        <w:tc>
          <w:tcPr>
            <w:tcW w:w="21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服务对象满意度</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服务对象满意度</w:t>
            </w:r>
          </w:p>
        </w:tc>
        <w:tc>
          <w:tcPr>
            <w:tcW w:w="10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95</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w:t>
            </w:r>
          </w:p>
        </w:tc>
        <w:tc>
          <w:tcPr>
            <w:tcW w:w="31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widowControl w:val="0"/>
              <w:adjustRightInd/>
              <w:snapToGrid w:val="0"/>
              <w:spacing w:after="0" w:line="240" w:lineRule="exact"/>
              <w:jc w:val="both"/>
              <w:rPr>
                <w:rFonts w:hint="default" w:ascii="宋体" w:hAnsi="宋体" w:eastAsia="宋体" w:cs="Times New Roman"/>
                <w:kern w:val="2"/>
                <w:sz w:val="21"/>
                <w:lang w:val="en-US" w:eastAsia="zh-CN"/>
              </w:rPr>
            </w:pPr>
            <w:r>
              <w:rPr>
                <w:rFonts w:hint="default" w:ascii="宋体" w:hAnsi="宋体" w:eastAsia="宋体" w:cs="Times New Roman"/>
                <w:kern w:val="2"/>
                <w:sz w:val="21"/>
                <w:lang w:val="en-US" w:eastAsia="zh-CN"/>
              </w:rPr>
              <w:t>有关文件</w:t>
            </w:r>
          </w:p>
        </w:tc>
      </w:tr>
    </w:tbl>
    <w:p>
      <w:pPr>
        <w:sectPr>
          <w:pgSz w:w="16840" w:h="11900" w:orient="landscape"/>
          <w:pgMar w:top="1361" w:right="1020" w:bottom="1134" w:left="1020" w:header="720" w:footer="720" w:gutter="0"/>
          <w:cols w:space="720" w:num="1"/>
        </w:sectPr>
      </w:pPr>
    </w:p>
    <w:p>
      <w:pPr>
        <w:pageBreakBefore w:val="0"/>
        <w:kinsoku/>
        <w:wordWrap/>
        <w:topLinePunct w:val="0"/>
        <w:bidi w:val="0"/>
        <w:spacing w:after="0" w:line="600" w:lineRule="exact"/>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深泽县</w:t>
      </w:r>
      <w:r>
        <w:rPr>
          <w:rFonts w:hint="eastAsia" w:ascii="方正小标宋_GBK" w:hAnsi="方正小标宋_GBK" w:eastAsia="方正小标宋_GBK" w:cs="方正小标宋_GBK"/>
          <w:b w:val="0"/>
          <w:bCs w:val="0"/>
          <w:sz w:val="44"/>
          <w:szCs w:val="44"/>
          <w:lang w:eastAsia="zh-CN"/>
        </w:rPr>
        <w:t>202</w:t>
      </w:r>
      <w:r>
        <w:rPr>
          <w:rFonts w:hint="eastAsia" w:ascii="方正小标宋_GBK" w:hAnsi="方正小标宋_GBK" w:eastAsia="方正小标宋_GBK" w:cs="方正小标宋_GBK"/>
          <w:b w:val="0"/>
          <w:bCs w:val="0"/>
          <w:sz w:val="44"/>
          <w:szCs w:val="44"/>
          <w:lang w:val="en-US" w:eastAsia="zh-CN"/>
        </w:rPr>
        <w:t>6</w:t>
      </w:r>
      <w:r>
        <w:rPr>
          <w:rFonts w:hint="eastAsia" w:ascii="方正小标宋_GBK" w:hAnsi="方正小标宋_GBK" w:eastAsia="方正小标宋_GBK" w:cs="方正小标宋_GBK"/>
          <w:b w:val="0"/>
          <w:bCs w:val="0"/>
          <w:sz w:val="44"/>
          <w:szCs w:val="44"/>
          <w:lang w:eastAsia="zh-CN"/>
        </w:rPr>
        <w:t>年</w:t>
      </w:r>
      <w:r>
        <w:rPr>
          <w:rFonts w:hint="eastAsia" w:ascii="方正小标宋_GBK" w:hAnsi="方正小标宋_GBK" w:eastAsia="方正小标宋_GBK" w:cs="方正小标宋_GBK"/>
          <w:b w:val="0"/>
          <w:bCs w:val="0"/>
          <w:sz w:val="44"/>
          <w:szCs w:val="44"/>
        </w:rPr>
        <w:t>政府预算</w:t>
      </w:r>
    </w:p>
    <w:p>
      <w:pPr>
        <w:pageBreakBefore w:val="0"/>
        <w:kinsoku/>
        <w:wordWrap/>
        <w:topLinePunct w:val="0"/>
        <w:bidi w:val="0"/>
        <w:spacing w:after="0" w:line="600" w:lineRule="exact"/>
        <w:jc w:val="center"/>
        <w:rPr>
          <w:rFonts w:hint="eastAsia" w:ascii="方正小标宋_GBK" w:hAnsi="方正小标宋_GBK" w:eastAsia="方正小标宋_GBK" w:cs="方正小标宋_GBK"/>
          <w:sz w:val="44"/>
          <w:szCs w:val="32"/>
        </w:rPr>
      </w:pPr>
      <w:r>
        <w:rPr>
          <w:rFonts w:hint="eastAsia" w:ascii="方正小标宋_GBK" w:hAnsi="方正小标宋_GBK" w:eastAsia="方正小标宋_GBK" w:cs="方正小标宋_GBK"/>
          <w:b w:val="0"/>
          <w:bCs w:val="0"/>
          <w:sz w:val="44"/>
          <w:szCs w:val="44"/>
        </w:rPr>
        <w:t>国有资本经营预算编制情况说明</w:t>
      </w:r>
    </w:p>
    <w:p>
      <w:pPr>
        <w:pageBreakBefore w:val="0"/>
        <w:kinsoku/>
        <w:wordWrap/>
        <w:topLinePunct w:val="0"/>
        <w:bidi w:val="0"/>
        <w:spacing w:after="0" w:line="600" w:lineRule="exact"/>
        <w:ind w:firstLine="880" w:firstLineChars="200"/>
        <w:jc w:val="center"/>
        <w:rPr>
          <w:rFonts w:hint="eastAsia" w:ascii="方正小标宋_GBK" w:hAnsi="方正小标宋_GBK" w:eastAsia="方正小标宋_GBK" w:cs="方正小标宋_GBK"/>
          <w:sz w:val="44"/>
          <w:szCs w:val="32"/>
        </w:rPr>
      </w:pPr>
    </w:p>
    <w:p>
      <w:pPr>
        <w:pageBreakBefore w:val="0"/>
        <w:kinsoku/>
        <w:wordWrap/>
        <w:topLinePunct w:val="0"/>
        <w:bidi w:val="0"/>
        <w:spacing w:after="0" w:line="600" w:lineRule="exact"/>
        <w:ind w:firstLine="640" w:firstLineChars="200"/>
        <w:jc w:val="both"/>
        <w:rPr>
          <w:rFonts w:ascii="仿宋" w:hAnsi="仿宋" w:eastAsia="仿宋_GB2312" w:cs="仿宋"/>
          <w:sz w:val="32"/>
          <w:szCs w:val="32"/>
        </w:rPr>
      </w:pPr>
      <w:r>
        <w:rPr>
          <w:rFonts w:hint="eastAsia" w:ascii="仿宋" w:hAnsi="仿宋" w:eastAsia="仿宋_GB2312" w:cs="仿宋"/>
          <w:sz w:val="32"/>
          <w:szCs w:val="32"/>
        </w:rPr>
        <w:t>按照</w:t>
      </w:r>
      <w:r>
        <w:rPr>
          <w:rFonts w:hint="eastAsia" w:ascii="仿宋" w:hAnsi="仿宋" w:eastAsia="仿宋_GB2312" w:cs="仿宋"/>
          <w:sz w:val="32"/>
          <w:szCs w:val="32"/>
          <w:lang w:eastAsia="zh-CN"/>
        </w:rPr>
        <w:t>《中华人民共和国预算法》</w:t>
      </w:r>
      <w:r>
        <w:rPr>
          <w:rFonts w:hint="eastAsia" w:ascii="仿宋" w:hAnsi="仿宋" w:eastAsia="仿宋_GB2312" w:cs="仿宋"/>
          <w:sz w:val="32"/>
          <w:szCs w:val="32"/>
        </w:rPr>
        <w:t>和</w:t>
      </w:r>
      <w:r>
        <w:rPr>
          <w:rFonts w:hint="eastAsia" w:ascii="仿宋" w:hAnsi="仿宋" w:eastAsia="仿宋_GB2312" w:cs="仿宋"/>
          <w:sz w:val="32"/>
          <w:szCs w:val="32"/>
          <w:lang w:eastAsia="zh-CN"/>
        </w:rPr>
        <w:t>深化预算管理制度改革</w:t>
      </w:r>
      <w:r>
        <w:rPr>
          <w:rFonts w:hint="eastAsia" w:ascii="仿宋" w:hAnsi="仿宋" w:eastAsia="仿宋_GB2312" w:cs="仿宋"/>
          <w:sz w:val="32"/>
          <w:szCs w:val="32"/>
        </w:rPr>
        <w:t>等相关要求，现将我县</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w:t>
      </w:r>
      <w:r>
        <w:rPr>
          <w:rFonts w:hint="eastAsia" w:ascii="仿宋" w:hAnsi="仿宋" w:eastAsia="仿宋_GB2312" w:cs="仿宋"/>
          <w:sz w:val="32"/>
          <w:szCs w:val="32"/>
        </w:rPr>
        <w:t>政府预算中国有资本经营预算编制情况进行如下说明：</w:t>
      </w:r>
    </w:p>
    <w:p>
      <w:pPr>
        <w:pageBreakBefore w:val="0"/>
        <w:kinsoku/>
        <w:wordWrap/>
        <w:topLinePunct w:val="0"/>
        <w:bidi w:val="0"/>
        <w:spacing w:after="0" w:line="600" w:lineRule="exact"/>
        <w:ind w:right="124" w:firstLine="640" w:firstLineChars="200"/>
        <w:jc w:val="both"/>
        <w:rPr>
          <w:rFonts w:ascii="仿宋" w:hAnsi="仿宋" w:eastAsia="仿宋_GB2312" w:cs="仿宋"/>
          <w:sz w:val="32"/>
          <w:szCs w:val="32"/>
        </w:rPr>
      </w:pPr>
      <w:r>
        <w:rPr>
          <w:rFonts w:hint="eastAsia" w:ascii="仿宋" w:hAnsi="仿宋" w:eastAsia="仿宋_GB2312" w:cs="仿宋"/>
          <w:sz w:val="32"/>
          <w:szCs w:val="32"/>
        </w:rPr>
        <w:t>按照上级有关规定要求，国有资本经营预算</w:t>
      </w:r>
      <w:r>
        <w:rPr>
          <w:rFonts w:hint="eastAsia" w:ascii="仿宋" w:hAnsi="仿宋" w:eastAsia="仿宋_GB2312" w:cs="仿宋"/>
          <w:sz w:val="32"/>
          <w:szCs w:val="32"/>
          <w:lang w:eastAsia="zh-CN"/>
        </w:rPr>
        <w:t>实行独立编制，</w:t>
      </w:r>
      <w:r>
        <w:rPr>
          <w:rFonts w:hint="eastAsia" w:ascii="仿宋" w:hAnsi="仿宋" w:eastAsia="仿宋_GB2312" w:cs="仿宋"/>
          <w:sz w:val="32"/>
          <w:szCs w:val="32"/>
        </w:rPr>
        <w:t>根据我县实际情况，</w:t>
      </w:r>
      <w:r>
        <w:rPr>
          <w:rFonts w:hint="eastAsia" w:ascii="仿宋" w:hAnsi="仿宋" w:eastAsia="仿宋_GB2312" w:cs="仿宋"/>
          <w:sz w:val="32"/>
          <w:szCs w:val="32"/>
          <w:lang w:eastAsia="zh-CN"/>
        </w:rPr>
        <w:t>因</w:t>
      </w:r>
      <w:r>
        <w:rPr>
          <w:rFonts w:hint="eastAsia" w:ascii="仿宋" w:hAnsi="仿宋" w:eastAsia="仿宋_GB2312" w:cs="仿宋"/>
          <w:sz w:val="32"/>
          <w:szCs w:val="32"/>
        </w:rPr>
        <w:t>我县</w:t>
      </w:r>
      <w:r>
        <w:rPr>
          <w:rFonts w:hint="eastAsia" w:ascii="仿宋" w:hAnsi="仿宋" w:eastAsia="仿宋_GB2312" w:cs="仿宋"/>
          <w:sz w:val="32"/>
          <w:szCs w:val="32"/>
          <w:lang w:eastAsia="zh-CN"/>
        </w:rPr>
        <w:t>国有企业数量较少</w:t>
      </w:r>
      <w:r>
        <w:rPr>
          <w:rFonts w:hint="eastAsia" w:ascii="仿宋" w:hAnsi="仿宋" w:eastAsia="仿宋_GB2312" w:cs="仿宋"/>
          <w:sz w:val="32"/>
          <w:szCs w:val="32"/>
        </w:rPr>
        <w:t>，</w:t>
      </w:r>
      <w:r>
        <w:rPr>
          <w:rFonts w:hint="eastAsia" w:ascii="仿宋" w:hAnsi="仿宋" w:eastAsia="仿宋_GB2312" w:cs="仿宋"/>
          <w:sz w:val="32"/>
          <w:szCs w:val="32"/>
          <w:lang w:eastAsia="zh-CN"/>
        </w:rPr>
        <w:t>202</w:t>
      </w:r>
      <w:r>
        <w:rPr>
          <w:rFonts w:hint="eastAsia" w:ascii="仿宋" w:hAnsi="仿宋" w:eastAsia="仿宋_GB2312" w:cs="仿宋"/>
          <w:sz w:val="32"/>
          <w:szCs w:val="32"/>
          <w:lang w:val="en-US" w:eastAsia="zh-CN"/>
        </w:rPr>
        <w:t>6</w:t>
      </w:r>
      <w:r>
        <w:rPr>
          <w:rFonts w:hint="eastAsia" w:ascii="仿宋" w:hAnsi="仿宋" w:eastAsia="仿宋_GB2312" w:cs="仿宋"/>
          <w:sz w:val="32"/>
          <w:szCs w:val="32"/>
          <w:lang w:eastAsia="zh-CN"/>
        </w:rPr>
        <w:t>年没有</w:t>
      </w:r>
      <w:r>
        <w:rPr>
          <w:rFonts w:hint="eastAsia" w:ascii="仿宋" w:hAnsi="仿宋" w:eastAsia="仿宋_GB2312" w:cs="仿宋"/>
          <w:sz w:val="32"/>
          <w:szCs w:val="32"/>
        </w:rPr>
        <w:t>编制国有资本经营预算。</w:t>
      </w:r>
    </w:p>
    <w:p>
      <w:pPr>
        <w:pageBreakBefore w:val="0"/>
        <w:kinsoku/>
        <w:wordWrap/>
        <w:topLinePunct w:val="0"/>
        <w:bidi w:val="0"/>
        <w:spacing w:after="0" w:line="600" w:lineRule="exact"/>
        <w:jc w:val="both"/>
        <w:rPr>
          <w:rFonts w:ascii="仿宋" w:hAnsi="仿宋" w:eastAsia="仿宋_GB2312" w:cs="仿宋"/>
          <w:sz w:val="32"/>
          <w:szCs w:val="32"/>
        </w:rPr>
      </w:pPr>
    </w:p>
    <w:p>
      <w:pPr>
        <w:pageBreakBefore w:val="0"/>
        <w:kinsoku/>
        <w:wordWrap/>
        <w:topLinePunct w:val="0"/>
        <w:bidi w:val="0"/>
        <w:spacing w:line="360" w:lineRule="auto"/>
        <w:jc w:val="both"/>
        <w:rPr>
          <w:rFonts w:ascii="宋体" w:hAnsi="宋体"/>
          <w:sz w:val="44"/>
          <w:szCs w:val="44"/>
        </w:rPr>
      </w:pPr>
    </w:p>
    <w:p>
      <w:pPr>
        <w:pageBreakBefore w:val="0"/>
        <w:kinsoku/>
        <w:wordWrap/>
        <w:topLinePunct w:val="0"/>
        <w:bidi w:val="0"/>
        <w:spacing w:line="360" w:lineRule="auto"/>
        <w:jc w:val="both"/>
        <w:rPr>
          <w:rFonts w:ascii="宋体" w:hAnsi="宋体"/>
          <w:sz w:val="44"/>
          <w:szCs w:val="44"/>
        </w:rPr>
      </w:pPr>
    </w:p>
    <w:p>
      <w:pPr>
        <w:pageBreakBefore w:val="0"/>
        <w:kinsoku/>
        <w:wordWrap/>
        <w:topLinePunct w:val="0"/>
        <w:bidi w:val="0"/>
        <w:spacing w:line="360" w:lineRule="auto"/>
        <w:jc w:val="both"/>
        <w:rPr>
          <w:rFonts w:ascii="宋体" w:hAnsi="宋体"/>
          <w:sz w:val="44"/>
          <w:szCs w:val="44"/>
        </w:rPr>
      </w:pPr>
    </w:p>
    <w:p>
      <w:pPr>
        <w:pageBreakBefore w:val="0"/>
        <w:kinsoku/>
        <w:wordWrap/>
        <w:topLinePunct w:val="0"/>
        <w:bidi w:val="0"/>
        <w:spacing w:line="360" w:lineRule="auto"/>
        <w:jc w:val="both"/>
        <w:rPr>
          <w:rFonts w:ascii="宋体" w:hAnsi="宋体"/>
          <w:sz w:val="44"/>
          <w:szCs w:val="44"/>
        </w:rPr>
      </w:pPr>
    </w:p>
    <w:p>
      <w:pPr>
        <w:pageBreakBefore w:val="0"/>
        <w:kinsoku/>
        <w:wordWrap/>
        <w:topLinePunct w:val="0"/>
        <w:bidi w:val="0"/>
        <w:spacing w:line="360" w:lineRule="auto"/>
        <w:jc w:val="both"/>
        <w:rPr>
          <w:rFonts w:ascii="宋体" w:hAnsi="宋体"/>
          <w:sz w:val="44"/>
          <w:szCs w:val="44"/>
        </w:rPr>
      </w:pPr>
    </w:p>
    <w:p>
      <w:pPr>
        <w:pageBreakBefore w:val="0"/>
        <w:kinsoku/>
        <w:wordWrap/>
        <w:topLinePunct w:val="0"/>
        <w:bidi w:val="0"/>
        <w:spacing w:line="360" w:lineRule="auto"/>
        <w:jc w:val="both"/>
        <w:rPr>
          <w:rFonts w:ascii="宋体" w:hAnsi="宋体"/>
          <w:sz w:val="44"/>
          <w:szCs w:val="44"/>
        </w:rPr>
      </w:pPr>
    </w:p>
    <w:p>
      <w:pPr>
        <w:pageBreakBefore w:val="0"/>
        <w:kinsoku/>
        <w:wordWrap/>
        <w:topLinePunct w:val="0"/>
        <w:bidi w:val="0"/>
        <w:spacing w:after="0" w:line="600" w:lineRule="exact"/>
        <w:jc w:val="both"/>
        <w:rPr>
          <w:rFonts w:ascii="宋体" w:hAnsi="宋体" w:eastAsia="宋体" w:cs="宋体"/>
          <w:b/>
          <w:bCs/>
          <w:sz w:val="44"/>
          <w:szCs w:val="44"/>
        </w:rPr>
      </w:pPr>
    </w:p>
    <w:p>
      <w:pPr>
        <w:pageBreakBefore w:val="0"/>
        <w:kinsoku/>
        <w:wordWrap/>
        <w:topLinePunct w:val="0"/>
        <w:bidi w:val="0"/>
        <w:spacing w:after="0" w:line="600" w:lineRule="exact"/>
        <w:jc w:val="both"/>
        <w:rPr>
          <w:rFonts w:hint="eastAsia" w:ascii="方正小标宋_GBK" w:hAnsi="方正小标宋_GBK" w:eastAsia="方正小标宋_GBK" w:cs="方正小标宋_GBK"/>
          <w:b w:val="0"/>
          <w:bCs w:val="0"/>
          <w:sz w:val="44"/>
          <w:szCs w:val="44"/>
        </w:rPr>
      </w:pPr>
    </w:p>
    <w:p>
      <w:pPr>
        <w:pageBreakBefore w:val="0"/>
        <w:kinsoku/>
        <w:wordWrap/>
        <w:topLinePunct w:val="0"/>
        <w:bidi w:val="0"/>
        <w:spacing w:after="0" w:line="600" w:lineRule="exact"/>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深泽县</w:t>
      </w:r>
      <w:r>
        <w:rPr>
          <w:rFonts w:hint="eastAsia" w:ascii="方正小标宋_GBK" w:hAnsi="方正小标宋_GBK" w:eastAsia="方正小标宋_GBK" w:cs="方正小标宋_GBK"/>
          <w:b w:val="0"/>
          <w:bCs w:val="0"/>
          <w:sz w:val="44"/>
          <w:szCs w:val="44"/>
          <w:lang w:eastAsia="zh-CN"/>
        </w:rPr>
        <w:t>202</w:t>
      </w:r>
      <w:r>
        <w:rPr>
          <w:rFonts w:hint="eastAsia" w:ascii="方正小标宋_GBK" w:hAnsi="方正小标宋_GBK" w:eastAsia="方正小标宋_GBK" w:cs="方正小标宋_GBK"/>
          <w:b w:val="0"/>
          <w:bCs w:val="0"/>
          <w:sz w:val="44"/>
          <w:szCs w:val="44"/>
          <w:lang w:val="en-US" w:eastAsia="zh-CN"/>
        </w:rPr>
        <w:t>6</w:t>
      </w:r>
      <w:r>
        <w:rPr>
          <w:rFonts w:hint="eastAsia" w:ascii="方正小标宋_GBK" w:hAnsi="方正小标宋_GBK" w:eastAsia="方正小标宋_GBK" w:cs="方正小标宋_GBK"/>
          <w:b w:val="0"/>
          <w:bCs w:val="0"/>
          <w:sz w:val="44"/>
          <w:szCs w:val="44"/>
          <w:lang w:eastAsia="zh-CN"/>
        </w:rPr>
        <w:t>年</w:t>
      </w:r>
      <w:r>
        <w:rPr>
          <w:rFonts w:hint="eastAsia" w:ascii="方正小标宋_GBK" w:hAnsi="方正小标宋_GBK" w:eastAsia="方正小标宋_GBK" w:cs="方正小标宋_GBK"/>
          <w:b w:val="0"/>
          <w:bCs w:val="0"/>
          <w:sz w:val="44"/>
          <w:szCs w:val="44"/>
        </w:rPr>
        <w:t>政府预算</w:t>
      </w:r>
    </w:p>
    <w:p>
      <w:pPr>
        <w:pageBreakBefore w:val="0"/>
        <w:kinsoku/>
        <w:wordWrap/>
        <w:topLinePunct w:val="0"/>
        <w:bidi w:val="0"/>
        <w:spacing w:after="0" w:line="600" w:lineRule="exact"/>
        <w:jc w:val="center"/>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其他重要事项的解释说明</w:t>
      </w:r>
    </w:p>
    <w:p>
      <w:pPr>
        <w:pageBreakBefore w:val="0"/>
        <w:kinsoku/>
        <w:wordWrap/>
        <w:topLinePunct w:val="0"/>
        <w:bidi w:val="0"/>
        <w:spacing w:after="0" w:line="600" w:lineRule="exact"/>
        <w:jc w:val="both"/>
        <w:rPr>
          <w:rFonts w:ascii="宋体" w:hAnsi="宋体"/>
          <w:sz w:val="44"/>
          <w:szCs w:val="44"/>
        </w:rPr>
      </w:pPr>
    </w:p>
    <w:p>
      <w:pPr>
        <w:pageBreakBefore w:val="0"/>
        <w:tabs>
          <w:tab w:val="left" w:pos="1260"/>
          <w:tab w:val="left" w:pos="7020"/>
        </w:tabs>
        <w:kinsoku/>
        <w:wordWrap/>
        <w:topLinePunct w:val="0"/>
        <w:bidi w:val="0"/>
        <w:spacing w:before="0" w:beforeLines="0" w:after="0" w:afterLines="0" w:line="580" w:lineRule="exact"/>
        <w:ind w:left="0" w:leftChars="0" w:right="0" w:rightChars="0" w:firstLine="640" w:firstLineChars="200"/>
        <w:jc w:val="both"/>
        <w:rPr>
          <w:rFonts w:hint="eastAsia" w:ascii="黑体" w:hAnsi="黑体" w:eastAsia="黑体" w:cs="黑体"/>
          <w:sz w:val="32"/>
          <w:szCs w:val="32"/>
          <w:highlight w:val="none"/>
        </w:rPr>
      </w:pPr>
      <w:r>
        <w:rPr>
          <w:rFonts w:hint="eastAsia" w:ascii="黑体" w:hAnsi="黑体" w:eastAsia="黑体" w:cs="黑体"/>
          <w:sz w:val="32"/>
          <w:szCs w:val="32"/>
          <w:highlight w:val="none"/>
        </w:rPr>
        <w:t>一、预算编制的指导思想</w:t>
      </w:r>
    </w:p>
    <w:p>
      <w:pPr>
        <w:keepNext w:val="0"/>
        <w:keepLines w:val="0"/>
        <w:pageBreakBefore w:val="0"/>
        <w:widowControl w:val="0"/>
        <w:pBdr>
          <w:top w:val="none" w:color="auto" w:sz="0" w:space="1"/>
          <w:left w:val="none" w:color="auto" w:sz="0" w:space="4"/>
          <w:bottom w:val="none" w:color="auto" w:sz="0" w:space="1"/>
          <w:right w:val="none" w:color="auto" w:sz="0" w:space="4"/>
        </w:pBdr>
        <w:kinsoku/>
        <w:wordWrap/>
        <w:topLinePunct w:val="0"/>
        <w:bidi w:val="0"/>
        <w:spacing w:before="0" w:beforeLines="0" w:after="0" w:afterLines="0" w:line="580" w:lineRule="exact"/>
        <w:ind w:right="0" w:rightChars="0" w:firstLine="640" w:firstLineChars="200"/>
        <w:outlineLvl w:val="9"/>
        <w:rPr>
          <w:rFonts w:hint="eastAsia" w:ascii="仿宋" w:hAnsi="仿宋" w:eastAsia="仿宋_GB2312" w:cs="仿宋"/>
          <w:b w:val="0"/>
          <w:bCs w:val="0"/>
          <w:color w:val="auto"/>
          <w:sz w:val="32"/>
          <w:szCs w:val="32"/>
        </w:rPr>
      </w:pPr>
      <w:r>
        <w:rPr>
          <w:rFonts w:hint="eastAsia" w:ascii="仿宋" w:hAnsi="仿宋" w:eastAsia="仿宋_GB2312" w:cs="仿宋"/>
          <w:b w:val="0"/>
          <w:bCs w:val="0"/>
          <w:color w:val="auto"/>
          <w:sz w:val="32"/>
          <w:szCs w:val="32"/>
        </w:rPr>
        <w:t>财政预算编制的指导思想是：坚持以习近平新时代中国特色社会主义思想为指导，全面落实党的二十大和二十届历次全会精神，深入贯彻习近平总书记视察河北、视察石家庄重要讲话和重要指示精神，深刻领会和准确把握中央经济工作会议和全国财政工作会议的总体要求、政策取向和重点任务，全面落实省市部署要求和县委工作安排，坚持稳中求进工作总基调，完整准确全面贯彻新发展理念，因地制宜发展新质生产力。用活用好更加积极的财政政策，加强财政资源和预算统筹，优化财政支出结构，做优增量盘活存量，强化重点领域保障，防范化解债务风险，提高资金使用效益，推动经济持续回升向好，为实现“十五五”良好开局，为全面建成“精美、富裕”深泽提供坚实财政保障。</w:t>
      </w:r>
    </w:p>
    <w:p>
      <w:pPr>
        <w:pageBreakBefore w:val="0"/>
        <w:tabs>
          <w:tab w:val="left" w:pos="1260"/>
          <w:tab w:val="left" w:pos="7020"/>
        </w:tabs>
        <w:kinsoku/>
        <w:wordWrap/>
        <w:topLinePunct w:val="0"/>
        <w:bidi w:val="0"/>
        <w:spacing w:before="0" w:beforeLines="0" w:after="0" w:afterLines="0" w:line="580" w:lineRule="exact"/>
        <w:ind w:left="0" w:leftChars="0" w:right="0" w:rightChars="0" w:firstLine="640" w:firstLineChars="200"/>
        <w:jc w:val="both"/>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二、</w:t>
      </w:r>
      <w:r>
        <w:rPr>
          <w:rFonts w:hint="eastAsia" w:ascii="黑体" w:hAnsi="黑体" w:eastAsia="黑体" w:cs="黑体"/>
          <w:sz w:val="32"/>
          <w:szCs w:val="32"/>
          <w:highlight w:val="none"/>
        </w:rPr>
        <w:t>预算编制遵循的基本原则</w:t>
      </w:r>
    </w:p>
    <w:p>
      <w:pPr>
        <w:keepNext w:val="0"/>
        <w:keepLines w:val="0"/>
        <w:pageBreakBefore w:val="0"/>
        <w:widowControl w:val="0"/>
        <w:pBdr>
          <w:top w:val="none" w:color="auto" w:sz="0" w:space="1"/>
          <w:left w:val="none" w:color="auto" w:sz="0" w:space="4"/>
          <w:bottom w:val="none" w:color="auto" w:sz="0" w:space="1"/>
          <w:right w:val="none" w:color="auto" w:sz="0" w:space="4"/>
        </w:pBdr>
        <w:kinsoku/>
        <w:wordWrap/>
        <w:topLinePunct w:val="0"/>
        <w:bidi w:val="0"/>
        <w:spacing w:before="0" w:beforeLines="0" w:after="0" w:afterLines="0" w:line="580" w:lineRule="exact"/>
        <w:ind w:right="0" w:rightChars="0" w:firstLine="640" w:firstLineChars="200"/>
        <w:outlineLvl w:val="9"/>
        <w:rPr>
          <w:rFonts w:ascii="仿宋_GB2312" w:hAnsi="仿宋_GB2312" w:eastAsia="仿宋_GB2312" w:cs="仿宋_GB2312"/>
          <w:color w:val="auto"/>
          <w:sz w:val="32"/>
          <w:szCs w:val="32"/>
          <w:lang w:val="zh-CN"/>
        </w:rPr>
      </w:pPr>
      <w:r>
        <w:rPr>
          <w:rFonts w:hint="eastAsia" w:ascii="仿宋" w:hAnsi="仿宋" w:eastAsia="仿宋_GB2312" w:cs="仿宋"/>
          <w:b w:val="0"/>
          <w:bCs w:val="0"/>
          <w:color w:val="auto"/>
          <w:sz w:val="32"/>
          <w:szCs w:val="32"/>
          <w:lang w:eastAsia="zh-CN"/>
        </w:rPr>
        <w:t>基</w:t>
      </w:r>
      <w:r>
        <w:rPr>
          <w:rFonts w:hint="eastAsia" w:ascii="仿宋" w:hAnsi="仿宋" w:eastAsia="仿宋_GB2312" w:cs="仿宋"/>
          <w:b w:val="0"/>
          <w:bCs w:val="0"/>
          <w:color w:val="auto"/>
          <w:sz w:val="32"/>
          <w:szCs w:val="32"/>
        </w:rPr>
        <w:t>于以上指导思想，今年</w:t>
      </w:r>
      <w:r>
        <w:rPr>
          <w:rFonts w:hint="eastAsia" w:ascii="仿宋" w:hAnsi="仿宋" w:eastAsia="仿宋_GB2312" w:cs="仿宋"/>
          <w:b w:val="0"/>
          <w:bCs w:val="0"/>
          <w:color w:val="auto"/>
          <w:sz w:val="32"/>
          <w:szCs w:val="32"/>
          <w:lang w:val="en-US" w:eastAsia="zh-CN"/>
        </w:rPr>
        <w:t>的</w:t>
      </w:r>
      <w:r>
        <w:rPr>
          <w:rFonts w:hint="eastAsia" w:ascii="仿宋" w:hAnsi="仿宋" w:eastAsia="仿宋_GB2312" w:cs="仿宋"/>
          <w:b w:val="0"/>
          <w:bCs w:val="0"/>
          <w:color w:val="auto"/>
          <w:sz w:val="32"/>
          <w:szCs w:val="32"/>
        </w:rPr>
        <w:t>预算编制遵循“稳中求进、提质增效、优化结构、厉行节约、防范风险”的基本原则。收入预算实事求是，与更加积极的财政政策相衔接，增强财源利用质量；支出预算突出重点，与高质量发展目标要求相契合，提升资源配置效率。</w:t>
      </w:r>
      <w:r>
        <w:rPr>
          <w:rFonts w:hint="eastAsia" w:ascii="楷体_GB2312" w:hAnsi="楷体_GB2312" w:eastAsia="楷体_GB2312" w:cs="Times New Roman"/>
          <w:b/>
          <w:bCs/>
          <w:color w:val="auto"/>
          <w:kern w:val="0"/>
          <w:sz w:val="32"/>
          <w:szCs w:val="32"/>
        </w:rPr>
        <w:t>一是突出保障重点支出</w:t>
      </w:r>
      <w:r>
        <w:rPr>
          <w:rFonts w:hint="eastAsia" w:ascii="仿宋" w:hAnsi="仿宋" w:eastAsia="仿宋_GB2312" w:cs="仿宋"/>
          <w:b w:val="0"/>
          <w:bCs w:val="0"/>
          <w:color w:val="auto"/>
          <w:sz w:val="32"/>
          <w:szCs w:val="32"/>
        </w:rPr>
        <w:t>。紧紧围绕县委“八个领域全面发力”要求，精准涵盖民生福祉、科技创新、产业升级、城市更新、乡村振兴等各个领域，全力予以保障。</w:t>
      </w:r>
      <w:r>
        <w:rPr>
          <w:rFonts w:hint="eastAsia" w:ascii="楷体_GB2312" w:hAnsi="楷体_GB2312" w:eastAsia="楷体_GB2312" w:cs="Times New Roman"/>
          <w:b/>
          <w:bCs/>
          <w:color w:val="auto"/>
          <w:kern w:val="0"/>
          <w:sz w:val="32"/>
          <w:szCs w:val="32"/>
        </w:rPr>
        <w:t>二是加大民生投入力度</w:t>
      </w:r>
      <w:r>
        <w:rPr>
          <w:rFonts w:hint="eastAsia" w:ascii="仿宋" w:hAnsi="仿宋" w:eastAsia="仿宋_GB2312" w:cs="仿宋"/>
          <w:b w:val="0"/>
          <w:bCs w:val="0"/>
          <w:color w:val="auto"/>
          <w:sz w:val="32"/>
          <w:szCs w:val="32"/>
        </w:rPr>
        <w:t>。将“三保”支出作为财政保障的首要任务，确保社保就业、教育卫生等民生事项按国家和省市政策予以落实，政府责任支出等刚性需求按标准足额安排到位。</w:t>
      </w:r>
      <w:r>
        <w:rPr>
          <w:rFonts w:hint="eastAsia" w:ascii="楷体_GB2312" w:hAnsi="楷体_GB2312" w:eastAsia="楷体_GB2312" w:cs="Times New Roman"/>
          <w:b/>
          <w:bCs/>
          <w:color w:val="auto"/>
          <w:kern w:val="0"/>
          <w:sz w:val="32"/>
          <w:szCs w:val="32"/>
        </w:rPr>
        <w:t>三是统筹财政资源配置</w:t>
      </w:r>
      <w:r>
        <w:rPr>
          <w:rFonts w:hint="eastAsia" w:ascii="仿宋" w:hAnsi="仿宋" w:eastAsia="仿宋_GB2312" w:cs="仿宋"/>
          <w:b w:val="0"/>
          <w:bCs w:val="0"/>
          <w:color w:val="auto"/>
          <w:sz w:val="32"/>
          <w:szCs w:val="32"/>
        </w:rPr>
        <w:t>。充分利用上级补助、本级收入及国有资产等资源，切实提高财政保障能力；积极争取各类政策资金支持，有效发挥金融工具、政府债券和社会资本拉动作用，全力支持重点项目建设。</w:t>
      </w:r>
      <w:r>
        <w:rPr>
          <w:rFonts w:hint="eastAsia" w:ascii="楷体_GB2312" w:hAnsi="楷体_GB2312" w:eastAsia="楷体_GB2312" w:cs="Times New Roman"/>
          <w:b/>
          <w:bCs/>
          <w:color w:val="auto"/>
          <w:kern w:val="0"/>
          <w:sz w:val="32"/>
          <w:szCs w:val="32"/>
        </w:rPr>
        <w:t>四是落实过紧日子要求</w:t>
      </w:r>
      <w:r>
        <w:rPr>
          <w:rFonts w:hint="eastAsia" w:ascii="仿宋" w:hAnsi="仿宋" w:eastAsia="仿宋_GB2312" w:cs="仿宋"/>
          <w:b w:val="0"/>
          <w:bCs w:val="0"/>
          <w:color w:val="auto"/>
          <w:sz w:val="32"/>
          <w:szCs w:val="32"/>
        </w:rPr>
        <w:t>。坚持“花钱必问效”，强化预算刚性实施管理和绩效评价结果运用，严把资金支出关口，提高资金使用质量，将厉行节约各项措施贯穿预算执行全过程。</w:t>
      </w:r>
      <w:r>
        <w:rPr>
          <w:rFonts w:hint="eastAsia" w:ascii="楷体_GB2312" w:hAnsi="楷体_GB2312" w:eastAsia="楷体_GB2312" w:cs="Times New Roman"/>
          <w:b/>
          <w:bCs/>
          <w:color w:val="auto"/>
          <w:kern w:val="0"/>
          <w:sz w:val="32"/>
          <w:szCs w:val="32"/>
        </w:rPr>
        <w:t>五是防范化解债务风险</w:t>
      </w:r>
      <w:r>
        <w:rPr>
          <w:rFonts w:hint="eastAsia" w:ascii="仿宋" w:hAnsi="仿宋" w:eastAsia="仿宋_GB2312" w:cs="仿宋"/>
          <w:b w:val="0"/>
          <w:bCs w:val="0"/>
          <w:color w:val="auto"/>
          <w:sz w:val="32"/>
          <w:szCs w:val="32"/>
        </w:rPr>
        <w:t>。完善风险评估指标体系，灵活运用债务展期、债务置换、资金统筹等手段及时化解风险。足额安排偿债资金，合理申报再融资债券</w:t>
      </w:r>
      <w:r>
        <w:rPr>
          <w:rFonts w:hint="eastAsia" w:ascii="仿宋_GB2312" w:hAnsi="仿宋_GB2312" w:eastAsia="仿宋_GB2312" w:cs="仿宋_GB2312"/>
          <w:color w:val="auto"/>
          <w:sz w:val="32"/>
          <w:szCs w:val="32"/>
          <w:lang w:val="zh-CN"/>
        </w:rPr>
        <w:t>。</w:t>
      </w:r>
    </w:p>
    <w:p>
      <w:pPr>
        <w:keepNext w:val="0"/>
        <w:keepLines w:val="0"/>
        <w:pageBreakBefore w:val="0"/>
        <w:kinsoku/>
        <w:wordWrap/>
        <w:overflowPunct w:val="0"/>
        <w:topLinePunct w:val="0"/>
        <w:autoSpaceDE/>
        <w:autoSpaceDN/>
        <w:bidi w:val="0"/>
        <w:adjustRightInd w:val="0"/>
        <w:snapToGrid w:val="0"/>
        <w:spacing w:line="560" w:lineRule="exact"/>
        <w:ind w:firstLine="640" w:firstLineChars="200"/>
        <w:jc w:val="both"/>
        <w:textAlignment w:val="auto"/>
        <w:rPr>
          <w:rFonts w:hint="eastAsia" w:ascii="仿宋" w:hAnsi="仿宋" w:eastAsia="仿宋_GB2312" w:cs="仿宋_GB2312"/>
          <w:sz w:val="32"/>
          <w:szCs w:val="32"/>
          <w:highlight w:val="none"/>
        </w:rPr>
      </w:pPr>
    </w:p>
    <w:p>
      <w:pPr>
        <w:pageBreakBefore w:val="0"/>
        <w:kinsoku/>
        <w:wordWrap/>
        <w:topLinePunct w:val="0"/>
        <w:bidi w:val="0"/>
        <w:spacing w:after="0" w:line="560" w:lineRule="exact"/>
        <w:ind w:firstLine="640" w:firstLineChars="200"/>
        <w:jc w:val="both"/>
        <w:rPr>
          <w:rFonts w:hAnsi="宋体" w:eastAsia="仿宋_GB2312" w:cs="宋体"/>
          <w:color w:val="000000" w:themeColor="text1"/>
          <w:sz w:val="32"/>
          <w:szCs w:val="32"/>
          <w14:textFill>
            <w14:solidFill>
              <w14:schemeClr w14:val="tx1"/>
            </w14:solidFill>
          </w14:textFill>
        </w:rPr>
      </w:pPr>
    </w:p>
    <w:sectPr>
      <w:headerReference r:id="rId3" w:type="default"/>
      <w:footerReference r:id="rId4" w:type="default"/>
      <w:pgSz w:w="11906" w:h="16838"/>
      <w:pgMar w:top="1440" w:right="1644" w:bottom="1440" w:left="1644" w:header="708" w:footer="709" w:gutter="0"/>
      <w:cols w:space="0" w:num="1"/>
      <w:rtlGutter w:val="0"/>
      <w:docGrid w:type="lines" w:linePitch="37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17EC4AF6-317D-4617-A94D-80952B8FC94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00000" w:usb3="00000000" w:csb0="00000000" w:csb1="00000000"/>
    <w:embedRegular r:id="rId2" w:fontKey="{FFC9783C-8AA2-4522-BF9D-D9AB35B43DB4}"/>
  </w:font>
  <w:font w:name="方正小标宋_GBK">
    <w:panose1 w:val="03000509000000000000"/>
    <w:charset w:val="86"/>
    <w:family w:val="auto"/>
    <w:pitch w:val="default"/>
    <w:sig w:usb0="00000001" w:usb1="080E0000" w:usb2="00000000" w:usb3="00000000" w:csb0="00040000" w:csb1="00000000"/>
    <w:embedRegular r:id="rId3" w:fontKey="{BCB9022D-5147-4ACC-895F-55B2AC0406E9}"/>
  </w:font>
  <w:font w:name="仿宋">
    <w:panose1 w:val="02010609060101010101"/>
    <w:charset w:val="86"/>
    <w:family w:val="modern"/>
    <w:pitch w:val="default"/>
    <w:sig w:usb0="800002BF" w:usb1="38CF7CFA" w:usb2="00000016" w:usb3="00000000" w:csb0="00040001" w:csb1="00000000"/>
    <w:embedRegular r:id="rId4" w:fontKey="{09BBAAE5-922D-4645-9DCF-06EC500EA486}"/>
  </w:font>
  <w:font w:name="仿宋_GB2312">
    <w:panose1 w:val="02010609030101010101"/>
    <w:charset w:val="86"/>
    <w:family w:val="auto"/>
    <w:pitch w:val="default"/>
    <w:sig w:usb0="00000001" w:usb1="080E0000" w:usb2="00000000" w:usb3="00000000" w:csb0="00040000" w:csb1="00000000"/>
    <w:embedRegular r:id="rId5" w:fontKey="{2E686270-99B3-414D-9288-5DD48083F10F}"/>
  </w:font>
  <w:font w:name="楷体">
    <w:panose1 w:val="02010609060101010101"/>
    <w:charset w:val="86"/>
    <w:family w:val="modern"/>
    <w:pitch w:val="default"/>
    <w:sig w:usb0="800002BF" w:usb1="38CF7CFA" w:usb2="00000016" w:usb3="00000000" w:csb0="00040001" w:csb1="00000000"/>
    <w:embedRegular r:id="rId6" w:fontKey="{D06C4774-0F77-45DF-8BC7-6F977BFB3BDC}"/>
  </w:font>
  <w:font w:name="楷体_GB2312">
    <w:panose1 w:val="02010609030101010101"/>
    <w:charset w:val="86"/>
    <w:family w:val="modern"/>
    <w:pitch w:val="default"/>
    <w:sig w:usb0="00000001" w:usb1="080E0000" w:usb2="00000000" w:usb3="00000000" w:csb0="00040000" w:csb1="00000000"/>
    <w:embedRegular r:id="rId7" w:fontKey="{941A234F-872D-4267-BE96-BFB290E63426}"/>
  </w:font>
  <w:font w:name="方正仿宋_GBK">
    <w:panose1 w:val="03000509000000000000"/>
    <w:charset w:val="86"/>
    <w:family w:val="auto"/>
    <w:pitch w:val="default"/>
    <w:sig w:usb0="00000001" w:usb1="080E0000" w:usb2="00000000" w:usb3="00000000" w:csb0="00040000" w:csb1="00000000"/>
    <w:embedRegular r:id="rId8" w:fontKey="{F545E0F7-C7CF-431A-9826-BE69DD058710}"/>
  </w:font>
  <w:font w:name="等线">
    <w:panose1 w:val="02010600030101010101"/>
    <w:charset w:val="86"/>
    <w:family w:val="auto"/>
    <w:pitch w:val="default"/>
    <w:sig w:usb0="A00002BF" w:usb1="38CF7CFA" w:usb2="00000016" w:usb3="00000000" w:csb0="0004000F" w:csb1="00000000"/>
    <w:embedRegular r:id="rId9" w:fontKey="{25F14FD0-B4F8-44F3-87E2-F079B759DF6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153"/>
        <w:tab w:val="right" w:pos="8306"/>
      </w:tabs>
      <w:snapToGrid w:val="0"/>
      <w:jc w:val="left"/>
      <w:rPr>
        <w:rFonts w:ascii="等线" w:hAnsi="等线" w:eastAsia="等线" w:cs="Times New Roman"/>
        <w:kern w:val="2"/>
        <w:sz w:val="18"/>
        <w:szCs w:val="18"/>
        <w:lang w:val="en-US" w:eastAsia="zh-CN" w:bidi="ar-S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0"/>
      </w:pBdr>
      <w:tabs>
        <w:tab w:val="center" w:pos="4153"/>
        <w:tab w:val="right" w:pos="8306"/>
      </w:tabs>
      <w:snapToGrid w:val="0"/>
      <w:jc w:val="center"/>
      <w:rPr>
        <w:rFonts w:ascii="等线" w:hAnsi="等线" w:eastAsia="等线" w:cs="Times New Roman"/>
        <w:kern w:val="2"/>
        <w:sz w:val="18"/>
        <w:szCs w:val="18"/>
        <w:lang w:val="en-US" w:eastAsia="zh-CN" w:bidi="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NotTrackMoves/>
  <w:documentProtection w:enforcement="0"/>
  <w:defaultTabStop w:val="720"/>
  <w:drawingGridVerticalSpacing w:val="187"/>
  <w:displayHorizontalDrawingGridEvery w:val="1"/>
  <w:displayVerticalDrawingGridEvery w:val="1"/>
  <w:noPunctuationKerning w:val="1"/>
  <w:characterSpacingControl w:val="doNotCompress"/>
  <w:noLineBreaksAfter w:lang="zh-CN" w:val="$([{£¥·‘“〈《「『【〔〖〝﹙﹛﹝＄（．［｛￡￥"/>
  <w:noLineBreaksBefore w:lang="zh-CN" w:val="!%),.:;&gt;?]}¢¨°·ˇˉ―‖’”…‰′″›℃∶、。〃〉》」』】〕〗〞︶︺︾﹀﹄﹚﹜﹞！＂％＇），．：；？］｀｜｝～￠"/>
  <w:compat>
    <w:doNotExpandShiftReturn/>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wZmQzYTM1ZGY3YTdlOThkZGE0YTkxZDA5ZGFhN2QifQ=="/>
  </w:docVars>
  <w:rsids>
    <w:rsidRoot w:val="009A391C"/>
    <w:rsid w:val="000171F5"/>
    <w:rsid w:val="000548A6"/>
    <w:rsid w:val="000548DB"/>
    <w:rsid w:val="00063451"/>
    <w:rsid w:val="00094A86"/>
    <w:rsid w:val="001E6702"/>
    <w:rsid w:val="001F1AE3"/>
    <w:rsid w:val="002269C8"/>
    <w:rsid w:val="002A1E80"/>
    <w:rsid w:val="002D3616"/>
    <w:rsid w:val="002F506B"/>
    <w:rsid w:val="00323B43"/>
    <w:rsid w:val="00372D30"/>
    <w:rsid w:val="00382810"/>
    <w:rsid w:val="003D37D8"/>
    <w:rsid w:val="00405E1A"/>
    <w:rsid w:val="004358AB"/>
    <w:rsid w:val="0044678E"/>
    <w:rsid w:val="004A3F34"/>
    <w:rsid w:val="004B53F1"/>
    <w:rsid w:val="00543284"/>
    <w:rsid w:val="0055534B"/>
    <w:rsid w:val="005A7129"/>
    <w:rsid w:val="005D79AF"/>
    <w:rsid w:val="005F4CFF"/>
    <w:rsid w:val="00634763"/>
    <w:rsid w:val="00662206"/>
    <w:rsid w:val="006C1DDC"/>
    <w:rsid w:val="00715462"/>
    <w:rsid w:val="00730A30"/>
    <w:rsid w:val="00767904"/>
    <w:rsid w:val="00863055"/>
    <w:rsid w:val="00876B86"/>
    <w:rsid w:val="00880EA5"/>
    <w:rsid w:val="008B7726"/>
    <w:rsid w:val="008C10CD"/>
    <w:rsid w:val="008F5A88"/>
    <w:rsid w:val="0093002B"/>
    <w:rsid w:val="009426BF"/>
    <w:rsid w:val="00962331"/>
    <w:rsid w:val="00964BC7"/>
    <w:rsid w:val="00977282"/>
    <w:rsid w:val="00996724"/>
    <w:rsid w:val="009A391C"/>
    <w:rsid w:val="00A74DBB"/>
    <w:rsid w:val="00AA6675"/>
    <w:rsid w:val="00AE43B3"/>
    <w:rsid w:val="00B037F8"/>
    <w:rsid w:val="00B43C08"/>
    <w:rsid w:val="00B6403C"/>
    <w:rsid w:val="00B829B6"/>
    <w:rsid w:val="00B976F3"/>
    <w:rsid w:val="00C33AE7"/>
    <w:rsid w:val="00C34BAB"/>
    <w:rsid w:val="00C66629"/>
    <w:rsid w:val="00C95D97"/>
    <w:rsid w:val="00D27760"/>
    <w:rsid w:val="00DA6930"/>
    <w:rsid w:val="00DC5C64"/>
    <w:rsid w:val="00DD20DF"/>
    <w:rsid w:val="00DD58BF"/>
    <w:rsid w:val="00DD5F8F"/>
    <w:rsid w:val="00DF5459"/>
    <w:rsid w:val="00E40385"/>
    <w:rsid w:val="00E63F95"/>
    <w:rsid w:val="00F04DBD"/>
    <w:rsid w:val="00F31A33"/>
    <w:rsid w:val="00F410C0"/>
    <w:rsid w:val="00FB6CB6"/>
    <w:rsid w:val="039842CF"/>
    <w:rsid w:val="040C25C7"/>
    <w:rsid w:val="042B2EE8"/>
    <w:rsid w:val="04C61DA7"/>
    <w:rsid w:val="04EC236F"/>
    <w:rsid w:val="05272771"/>
    <w:rsid w:val="060F36D8"/>
    <w:rsid w:val="062B294F"/>
    <w:rsid w:val="067D5433"/>
    <w:rsid w:val="070C237A"/>
    <w:rsid w:val="07C505DA"/>
    <w:rsid w:val="08CC00CB"/>
    <w:rsid w:val="08D12404"/>
    <w:rsid w:val="08EA07B7"/>
    <w:rsid w:val="0A0C2B31"/>
    <w:rsid w:val="0A127E1A"/>
    <w:rsid w:val="0AD91823"/>
    <w:rsid w:val="0B242608"/>
    <w:rsid w:val="0BA52F2C"/>
    <w:rsid w:val="0C314D8D"/>
    <w:rsid w:val="0CDA0585"/>
    <w:rsid w:val="0D0E26FA"/>
    <w:rsid w:val="0ED61513"/>
    <w:rsid w:val="0EFD592E"/>
    <w:rsid w:val="0F51613A"/>
    <w:rsid w:val="108F5386"/>
    <w:rsid w:val="109776BD"/>
    <w:rsid w:val="10B347B2"/>
    <w:rsid w:val="11170E22"/>
    <w:rsid w:val="11800151"/>
    <w:rsid w:val="118F76A2"/>
    <w:rsid w:val="11DF1F61"/>
    <w:rsid w:val="13035625"/>
    <w:rsid w:val="130B7A53"/>
    <w:rsid w:val="13841894"/>
    <w:rsid w:val="13955CAC"/>
    <w:rsid w:val="14287931"/>
    <w:rsid w:val="14341132"/>
    <w:rsid w:val="15D01822"/>
    <w:rsid w:val="166E2DED"/>
    <w:rsid w:val="16AE4F24"/>
    <w:rsid w:val="16BF239C"/>
    <w:rsid w:val="17AF4F9A"/>
    <w:rsid w:val="186602E9"/>
    <w:rsid w:val="194F2447"/>
    <w:rsid w:val="1BD56B39"/>
    <w:rsid w:val="1C1217DE"/>
    <w:rsid w:val="1CD32B23"/>
    <w:rsid w:val="1D235BCC"/>
    <w:rsid w:val="1DA927AB"/>
    <w:rsid w:val="1E256DF6"/>
    <w:rsid w:val="1EC44227"/>
    <w:rsid w:val="1ED722D7"/>
    <w:rsid w:val="1EF2660B"/>
    <w:rsid w:val="2095136E"/>
    <w:rsid w:val="20F433C6"/>
    <w:rsid w:val="21101180"/>
    <w:rsid w:val="21530035"/>
    <w:rsid w:val="216034C3"/>
    <w:rsid w:val="21651D2D"/>
    <w:rsid w:val="22534D55"/>
    <w:rsid w:val="229765F8"/>
    <w:rsid w:val="23E14929"/>
    <w:rsid w:val="23F66812"/>
    <w:rsid w:val="25D86F38"/>
    <w:rsid w:val="25FD6FAD"/>
    <w:rsid w:val="2618131D"/>
    <w:rsid w:val="2653082F"/>
    <w:rsid w:val="266918AD"/>
    <w:rsid w:val="26B23FD1"/>
    <w:rsid w:val="274A3B30"/>
    <w:rsid w:val="27683133"/>
    <w:rsid w:val="277065C6"/>
    <w:rsid w:val="29826D66"/>
    <w:rsid w:val="29883BEF"/>
    <w:rsid w:val="2A050A46"/>
    <w:rsid w:val="2B4E1AEB"/>
    <w:rsid w:val="2BA14AA2"/>
    <w:rsid w:val="2C09678A"/>
    <w:rsid w:val="2D005781"/>
    <w:rsid w:val="2D201012"/>
    <w:rsid w:val="2D443278"/>
    <w:rsid w:val="2D9F663F"/>
    <w:rsid w:val="2DFF789D"/>
    <w:rsid w:val="2E1067F8"/>
    <w:rsid w:val="2FCC3AD7"/>
    <w:rsid w:val="2FCE70B5"/>
    <w:rsid w:val="30044688"/>
    <w:rsid w:val="3057474F"/>
    <w:rsid w:val="3097285F"/>
    <w:rsid w:val="315508B5"/>
    <w:rsid w:val="31CE11E4"/>
    <w:rsid w:val="31F85DB9"/>
    <w:rsid w:val="335B62D7"/>
    <w:rsid w:val="35327830"/>
    <w:rsid w:val="35333473"/>
    <w:rsid w:val="36034B57"/>
    <w:rsid w:val="366B126F"/>
    <w:rsid w:val="368D6CC0"/>
    <w:rsid w:val="37632402"/>
    <w:rsid w:val="387E00BB"/>
    <w:rsid w:val="3A1D2879"/>
    <w:rsid w:val="3A2852FA"/>
    <w:rsid w:val="3A402C10"/>
    <w:rsid w:val="3B6326D1"/>
    <w:rsid w:val="3D314C58"/>
    <w:rsid w:val="3D8D1697"/>
    <w:rsid w:val="3DA04374"/>
    <w:rsid w:val="3DCF18A8"/>
    <w:rsid w:val="3DF74DB5"/>
    <w:rsid w:val="3F1E7077"/>
    <w:rsid w:val="3F62216B"/>
    <w:rsid w:val="40D20119"/>
    <w:rsid w:val="41CB614C"/>
    <w:rsid w:val="41F208CD"/>
    <w:rsid w:val="4247089E"/>
    <w:rsid w:val="427E21E6"/>
    <w:rsid w:val="428A6C22"/>
    <w:rsid w:val="44A042C2"/>
    <w:rsid w:val="44FE7A2D"/>
    <w:rsid w:val="45201988"/>
    <w:rsid w:val="4537679D"/>
    <w:rsid w:val="458E64AD"/>
    <w:rsid w:val="45EA5542"/>
    <w:rsid w:val="465277CB"/>
    <w:rsid w:val="46ED5ACD"/>
    <w:rsid w:val="470473A8"/>
    <w:rsid w:val="472E3BD0"/>
    <w:rsid w:val="47BB4154"/>
    <w:rsid w:val="4875631E"/>
    <w:rsid w:val="49104636"/>
    <w:rsid w:val="4A7D2F9B"/>
    <w:rsid w:val="4B4A2051"/>
    <w:rsid w:val="4BCE1284"/>
    <w:rsid w:val="4C34501F"/>
    <w:rsid w:val="4CA01471"/>
    <w:rsid w:val="4D29428B"/>
    <w:rsid w:val="4D5D53E6"/>
    <w:rsid w:val="4D645DC5"/>
    <w:rsid w:val="4E58365D"/>
    <w:rsid w:val="4EC90933"/>
    <w:rsid w:val="4EFC142B"/>
    <w:rsid w:val="4FD56EAA"/>
    <w:rsid w:val="4FF441F4"/>
    <w:rsid w:val="51051034"/>
    <w:rsid w:val="518832EC"/>
    <w:rsid w:val="51B93CBA"/>
    <w:rsid w:val="51BD6D98"/>
    <w:rsid w:val="52610D45"/>
    <w:rsid w:val="52DF4809"/>
    <w:rsid w:val="52E00EAD"/>
    <w:rsid w:val="534806C7"/>
    <w:rsid w:val="53B93162"/>
    <w:rsid w:val="549D4704"/>
    <w:rsid w:val="55250F07"/>
    <w:rsid w:val="55583C48"/>
    <w:rsid w:val="56773FDF"/>
    <w:rsid w:val="570509CE"/>
    <w:rsid w:val="5745780D"/>
    <w:rsid w:val="57D2644F"/>
    <w:rsid w:val="58AE5123"/>
    <w:rsid w:val="59E907C2"/>
    <w:rsid w:val="59F54529"/>
    <w:rsid w:val="5BF2534A"/>
    <w:rsid w:val="5C336E43"/>
    <w:rsid w:val="5C6068FA"/>
    <w:rsid w:val="5CE53377"/>
    <w:rsid w:val="5EDE0DEB"/>
    <w:rsid w:val="5F077BA4"/>
    <w:rsid w:val="5F773088"/>
    <w:rsid w:val="5FEF6186"/>
    <w:rsid w:val="60077264"/>
    <w:rsid w:val="603F021A"/>
    <w:rsid w:val="604A6458"/>
    <w:rsid w:val="60F12D89"/>
    <w:rsid w:val="61546FEB"/>
    <w:rsid w:val="62AF39BF"/>
    <w:rsid w:val="647153D0"/>
    <w:rsid w:val="64A4682B"/>
    <w:rsid w:val="650641E6"/>
    <w:rsid w:val="66676772"/>
    <w:rsid w:val="666F3238"/>
    <w:rsid w:val="66BE19F2"/>
    <w:rsid w:val="66C9699A"/>
    <w:rsid w:val="66D445C6"/>
    <w:rsid w:val="67162230"/>
    <w:rsid w:val="674D357A"/>
    <w:rsid w:val="67643054"/>
    <w:rsid w:val="67E77C07"/>
    <w:rsid w:val="69EE0E99"/>
    <w:rsid w:val="6A1D348A"/>
    <w:rsid w:val="6A39307A"/>
    <w:rsid w:val="6AB029CA"/>
    <w:rsid w:val="6C273CE2"/>
    <w:rsid w:val="6CD30286"/>
    <w:rsid w:val="6D3A7EE2"/>
    <w:rsid w:val="6DAA78D1"/>
    <w:rsid w:val="6E0D5E41"/>
    <w:rsid w:val="6E264F3A"/>
    <w:rsid w:val="6E794702"/>
    <w:rsid w:val="6EA75309"/>
    <w:rsid w:val="6F8D5CA0"/>
    <w:rsid w:val="6FD45005"/>
    <w:rsid w:val="6FF838AD"/>
    <w:rsid w:val="70E00AC1"/>
    <w:rsid w:val="711C13BD"/>
    <w:rsid w:val="72365527"/>
    <w:rsid w:val="729A4B36"/>
    <w:rsid w:val="73635140"/>
    <w:rsid w:val="73B67E30"/>
    <w:rsid w:val="73C13F94"/>
    <w:rsid w:val="73D717D3"/>
    <w:rsid w:val="75410DEE"/>
    <w:rsid w:val="759B5EEE"/>
    <w:rsid w:val="75E664CB"/>
    <w:rsid w:val="766F2EFC"/>
    <w:rsid w:val="77D15215"/>
    <w:rsid w:val="77EB136D"/>
    <w:rsid w:val="782B5B81"/>
    <w:rsid w:val="78AE679B"/>
    <w:rsid w:val="78BB0708"/>
    <w:rsid w:val="78E93CAC"/>
    <w:rsid w:val="7995441B"/>
    <w:rsid w:val="79BE6D80"/>
    <w:rsid w:val="7A425AB4"/>
    <w:rsid w:val="7AA15046"/>
    <w:rsid w:val="7AE2272C"/>
    <w:rsid w:val="7B11527A"/>
    <w:rsid w:val="7B2F3497"/>
    <w:rsid w:val="7B4A7A78"/>
    <w:rsid w:val="7B8D497D"/>
    <w:rsid w:val="7C6D39AE"/>
    <w:rsid w:val="7C8E4220"/>
    <w:rsid w:val="7CE028B6"/>
    <w:rsid w:val="7E242CF9"/>
    <w:rsid w:val="7EEF1AD0"/>
    <w:rsid w:val="7F395708"/>
    <w:rsid w:val="7F464CE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semiHidden="0" w:name="heading 2" w:locked="1"/>
    <w:lsdException w:qFormat="1" w:uiPriority="0" w:semiHidden="0" w:name="heading 3" w:locked="1"/>
    <w:lsdException w:qFormat="1"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imes New Roman"/>
      <w:sz w:val="22"/>
      <w:szCs w:val="22"/>
      <w:lang w:val="en-US" w:eastAsia="zh-CN" w:bidi="ar-SA"/>
    </w:rPr>
  </w:style>
  <w:style w:type="paragraph" w:styleId="2">
    <w:name w:val="heading 1"/>
    <w:basedOn w:val="1"/>
    <w:next w:val="1"/>
    <w:qFormat/>
    <w:locked/>
    <w:uiPriority w:val="0"/>
    <w:pPr>
      <w:keepNext/>
      <w:keepLines/>
      <w:spacing w:before="340" w:after="330" w:line="576" w:lineRule="auto"/>
      <w:outlineLvl w:val="0"/>
    </w:pPr>
    <w:rPr>
      <w:b/>
      <w:bCs/>
      <w:kern w:val="44"/>
      <w:sz w:val="44"/>
      <w:szCs w:val="44"/>
    </w:rPr>
  </w:style>
  <w:style w:type="paragraph" w:styleId="3">
    <w:name w:val="heading 2"/>
    <w:basedOn w:val="1"/>
    <w:next w:val="1"/>
    <w:unhideWhenUsed/>
    <w:qFormat/>
    <w:locked/>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locked/>
    <w:uiPriority w:val="0"/>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unhideWhenUsed/>
    <w:qFormat/>
    <w:locked/>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14"/>
    <w:semiHidden/>
    <w:unhideWhenUsed/>
    <w:qFormat/>
    <w:uiPriority w:val="99"/>
    <w:pPr>
      <w:spacing w:after="0"/>
    </w:pPr>
    <w:rPr>
      <w:sz w:val="18"/>
      <w:szCs w:val="18"/>
    </w:rPr>
  </w:style>
  <w:style w:type="paragraph" w:styleId="7">
    <w:name w:val="footer"/>
    <w:basedOn w:val="1"/>
    <w:link w:val="13"/>
    <w:unhideWhenUsed/>
    <w:qFormat/>
    <w:uiPriority w:val="99"/>
    <w:pPr>
      <w:tabs>
        <w:tab w:val="center" w:pos="4153"/>
        <w:tab w:val="right" w:pos="8306"/>
      </w:tabs>
    </w:pPr>
    <w:rPr>
      <w:rFonts w:eastAsia="宋体"/>
      <w:sz w:val="18"/>
      <w:szCs w:val="18"/>
    </w:rPr>
  </w:style>
  <w:style w:type="paragraph" w:styleId="8">
    <w:name w:val="header"/>
    <w:basedOn w:val="1"/>
    <w:link w:val="12"/>
    <w:unhideWhenUsed/>
    <w:qFormat/>
    <w:uiPriority w:val="99"/>
    <w:pPr>
      <w:pBdr>
        <w:bottom w:val="single" w:color="auto" w:sz="6" w:space="1"/>
      </w:pBdr>
      <w:tabs>
        <w:tab w:val="center" w:pos="4153"/>
        <w:tab w:val="right" w:pos="8306"/>
      </w:tabs>
      <w:jc w:val="center"/>
    </w:pPr>
    <w:rPr>
      <w:rFonts w:eastAsia="宋体"/>
      <w:sz w:val="18"/>
      <w:szCs w:val="18"/>
    </w:rPr>
  </w:style>
  <w:style w:type="paragraph" w:customStyle="1" w:styleId="11">
    <w:name w:val="_Style 1"/>
    <w:qFormat/>
    <w:uiPriority w:val="0"/>
    <w:pPr>
      <w:widowControl w:val="0"/>
      <w:jc w:val="both"/>
    </w:pPr>
    <w:rPr>
      <w:rFonts w:ascii="宋体" w:hAnsi="Times New Roman" w:eastAsia="宋体" w:cs="黑体"/>
      <w:kern w:val="2"/>
      <w:sz w:val="32"/>
      <w:szCs w:val="22"/>
      <w:lang w:val="en-US" w:eastAsia="zh-CN" w:bidi="ar-SA"/>
    </w:rPr>
  </w:style>
  <w:style w:type="character" w:customStyle="1" w:styleId="12">
    <w:name w:val="页眉 Char"/>
    <w:link w:val="8"/>
    <w:semiHidden/>
    <w:qFormat/>
    <w:uiPriority w:val="99"/>
    <w:rPr>
      <w:rFonts w:ascii="Tahoma" w:hAnsi="Tahoma"/>
      <w:sz w:val="18"/>
      <w:szCs w:val="18"/>
    </w:rPr>
  </w:style>
  <w:style w:type="character" w:customStyle="1" w:styleId="13">
    <w:name w:val="页脚 Char"/>
    <w:link w:val="7"/>
    <w:semiHidden/>
    <w:qFormat/>
    <w:uiPriority w:val="99"/>
    <w:rPr>
      <w:rFonts w:ascii="Tahoma" w:hAnsi="Tahoma"/>
      <w:sz w:val="18"/>
      <w:szCs w:val="18"/>
    </w:rPr>
  </w:style>
  <w:style w:type="character" w:customStyle="1" w:styleId="14">
    <w:name w:val="批注框文本 Char"/>
    <w:link w:val="6"/>
    <w:semiHidden/>
    <w:qFormat/>
    <w:uiPriority w:val="99"/>
    <w:rPr>
      <w:rFonts w:ascii="Tahoma" w:hAnsi="Tahoma" w:eastAsia="微软雅黑"/>
      <w:sz w:val="18"/>
      <w:szCs w:val="18"/>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4"/>
    <w:basedOn w:val="1"/>
    <w:qFormat/>
    <w:uiPriority w:val="0"/>
    <w:pPr>
      <w:jc w:val="right"/>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微软用户</Company>
  <Pages>24</Pages>
  <Words>5029</Words>
  <Characters>5425</Characters>
  <Lines>34</Lines>
  <Paragraphs>9</Paragraphs>
  <TotalTime>9</TotalTime>
  <ScaleCrop>false</ScaleCrop>
  <LinksUpToDate>false</LinksUpToDate>
  <CharactersWithSpaces>5463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2016-03-01T07:14:00Z</dcterms:created>
  <dc:creator>微软用户</dc:creator>
  <cp:lastModifiedBy>Administrator</cp:lastModifiedBy>
  <cp:lastPrinted>2025-09-08T06:35:00Z</cp:lastPrinted>
  <dcterms:modified xsi:type="dcterms:W3CDTF">2026-03-12T09:01:56Z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90E5C6F96A3B4B6987CB3DD837502EE8_13</vt:lpwstr>
  </property>
</Properties>
</file>