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C76645">
      <w:pPr>
        <w:spacing w:before="83" w:line="224" w:lineRule="auto"/>
        <w:ind w:left="3365"/>
        <w:outlineLvl w:val="0"/>
        <w:rPr>
          <w:rFonts w:ascii="宋体" w:hAnsi="宋体" w:eastAsia="宋体" w:cs="宋体"/>
          <w:sz w:val="25"/>
          <w:szCs w:val="25"/>
        </w:rPr>
      </w:pPr>
      <w:r>
        <w:rPr>
          <w:rFonts w:hint="eastAsia" w:ascii="宋体" w:hAnsi="宋体" w:eastAsia="宋体" w:cs="宋体"/>
          <w:b/>
          <w:bCs/>
          <w:spacing w:val="5"/>
          <w:sz w:val="25"/>
          <w:szCs w:val="25"/>
          <w:lang w:val="en-US" w:eastAsia="zh-CN"/>
        </w:rPr>
        <w:t>深泽县</w:t>
      </w:r>
      <w:r>
        <w:rPr>
          <w:rFonts w:ascii="宋体" w:hAnsi="宋体" w:eastAsia="宋体" w:cs="宋体"/>
          <w:b/>
          <w:bCs/>
          <w:spacing w:val="5"/>
          <w:sz w:val="25"/>
          <w:szCs w:val="25"/>
        </w:rPr>
        <w:t>执行的政府性基金目录清单</w:t>
      </w:r>
    </w:p>
    <w:p w14:paraId="68DE5403">
      <w:pPr>
        <w:spacing w:before="24"/>
      </w:pPr>
    </w:p>
    <w:tbl>
      <w:tblPr>
        <w:tblStyle w:val="5"/>
        <w:tblW w:w="10574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56"/>
        <w:gridCol w:w="1000"/>
        <w:gridCol w:w="1480"/>
        <w:gridCol w:w="4364"/>
        <w:gridCol w:w="3274"/>
      </w:tblGrid>
      <w:tr w14:paraId="1674C5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</w:trPr>
        <w:tc>
          <w:tcPr>
            <w:tcW w:w="456" w:type="dxa"/>
            <w:vAlign w:val="top"/>
          </w:tcPr>
          <w:p w14:paraId="2E332CDB">
            <w:pPr>
              <w:spacing w:before="284" w:line="221" w:lineRule="auto"/>
              <w:ind w:left="54"/>
              <w:rPr>
                <w:rFonts w:ascii="黑体" w:hAnsi="黑体" w:eastAsia="黑体" w:cs="黑体"/>
                <w:sz w:val="17"/>
                <w:szCs w:val="17"/>
              </w:rPr>
            </w:pPr>
            <w:r>
              <w:rPr>
                <w:rFonts w:ascii="黑体" w:hAnsi="黑体" w:eastAsia="黑体" w:cs="黑体"/>
                <w:b/>
                <w:bCs/>
                <w:spacing w:val="-3"/>
                <w:sz w:val="17"/>
                <w:szCs w:val="17"/>
              </w:rPr>
              <w:t>序号</w:t>
            </w:r>
          </w:p>
        </w:tc>
        <w:tc>
          <w:tcPr>
            <w:tcW w:w="1000" w:type="dxa"/>
            <w:vAlign w:val="top"/>
          </w:tcPr>
          <w:p w14:paraId="6CED2B11">
            <w:pPr>
              <w:spacing w:before="285" w:line="219" w:lineRule="auto"/>
              <w:ind w:left="148"/>
              <w:rPr>
                <w:rFonts w:ascii="黑体" w:hAnsi="黑体" w:eastAsia="黑体" w:cs="黑体"/>
                <w:sz w:val="17"/>
                <w:szCs w:val="17"/>
              </w:rPr>
            </w:pPr>
            <w:r>
              <w:rPr>
                <w:rFonts w:ascii="黑体" w:hAnsi="黑体" w:eastAsia="黑体" w:cs="黑体"/>
                <w:b/>
                <w:bCs/>
                <w:sz w:val="17"/>
                <w:szCs w:val="17"/>
              </w:rPr>
              <w:t>项目名称</w:t>
            </w:r>
          </w:p>
        </w:tc>
        <w:tc>
          <w:tcPr>
            <w:tcW w:w="1480" w:type="dxa"/>
            <w:vAlign w:val="top"/>
          </w:tcPr>
          <w:p w14:paraId="69BFAA73">
            <w:pPr>
              <w:spacing w:before="284" w:line="219" w:lineRule="auto"/>
              <w:ind w:left="219"/>
              <w:rPr>
                <w:rFonts w:ascii="黑体" w:hAnsi="黑体" w:eastAsia="黑体" w:cs="黑体"/>
                <w:sz w:val="17"/>
                <w:szCs w:val="17"/>
              </w:rPr>
            </w:pPr>
            <w:r>
              <w:rPr>
                <w:rFonts w:ascii="黑体" w:hAnsi="黑体" w:eastAsia="黑体" w:cs="黑体"/>
                <w:b/>
                <w:bCs/>
                <w:sz w:val="17"/>
                <w:szCs w:val="17"/>
              </w:rPr>
              <w:t>资金管理方式</w:t>
            </w:r>
          </w:p>
        </w:tc>
        <w:tc>
          <w:tcPr>
            <w:tcW w:w="4364" w:type="dxa"/>
            <w:vAlign w:val="top"/>
          </w:tcPr>
          <w:p w14:paraId="4D1A601B">
            <w:pPr>
              <w:spacing w:before="285" w:line="219" w:lineRule="auto"/>
              <w:ind w:left="1212"/>
              <w:rPr>
                <w:rFonts w:ascii="黑体" w:hAnsi="黑体" w:eastAsia="黑体" w:cs="黑体"/>
                <w:sz w:val="17"/>
                <w:szCs w:val="17"/>
              </w:rPr>
            </w:pPr>
            <w:r>
              <w:rPr>
                <w:rFonts w:ascii="黑体" w:hAnsi="黑体" w:eastAsia="黑体" w:cs="黑体"/>
                <w:b/>
                <w:bCs/>
                <w:spacing w:val="-6"/>
                <w:sz w:val="17"/>
                <w:szCs w:val="17"/>
              </w:rPr>
              <w:t>政</w:t>
            </w:r>
            <w:r>
              <w:rPr>
                <w:rFonts w:ascii="黑体" w:hAnsi="黑体" w:eastAsia="黑体" w:cs="黑体"/>
                <w:spacing w:val="5"/>
                <w:sz w:val="17"/>
                <w:szCs w:val="17"/>
              </w:rPr>
              <w:t xml:space="preserve">     </w:t>
            </w:r>
            <w:r>
              <w:rPr>
                <w:rFonts w:ascii="黑体" w:hAnsi="黑体" w:eastAsia="黑体" w:cs="黑体"/>
                <w:b/>
                <w:bCs/>
                <w:spacing w:val="-6"/>
                <w:sz w:val="17"/>
                <w:szCs w:val="17"/>
              </w:rPr>
              <w:t>策</w:t>
            </w:r>
            <w:r>
              <w:rPr>
                <w:rFonts w:ascii="黑体" w:hAnsi="黑体" w:eastAsia="黑体" w:cs="黑体"/>
                <w:spacing w:val="6"/>
                <w:sz w:val="17"/>
                <w:szCs w:val="17"/>
              </w:rPr>
              <w:t xml:space="preserve">     </w:t>
            </w:r>
            <w:r>
              <w:rPr>
                <w:rFonts w:ascii="黑体" w:hAnsi="黑体" w:eastAsia="黑体" w:cs="黑体"/>
                <w:b/>
                <w:bCs/>
                <w:spacing w:val="-6"/>
                <w:sz w:val="17"/>
                <w:szCs w:val="17"/>
              </w:rPr>
              <w:t>依</w:t>
            </w:r>
            <w:r>
              <w:rPr>
                <w:rFonts w:ascii="黑体" w:hAnsi="黑体" w:eastAsia="黑体" w:cs="黑体"/>
                <w:spacing w:val="7"/>
                <w:sz w:val="17"/>
                <w:szCs w:val="17"/>
              </w:rPr>
              <w:t xml:space="preserve">    </w:t>
            </w:r>
            <w:r>
              <w:rPr>
                <w:rFonts w:ascii="黑体" w:hAnsi="黑体" w:eastAsia="黑体" w:cs="黑体"/>
                <w:b/>
                <w:bCs/>
                <w:spacing w:val="-6"/>
                <w:sz w:val="17"/>
                <w:szCs w:val="17"/>
              </w:rPr>
              <w:t>据</w:t>
            </w:r>
          </w:p>
        </w:tc>
        <w:tc>
          <w:tcPr>
            <w:tcW w:w="3274" w:type="dxa"/>
            <w:vAlign w:val="top"/>
          </w:tcPr>
          <w:p w14:paraId="3FFC75FC">
            <w:pPr>
              <w:spacing w:before="284" w:line="221" w:lineRule="auto"/>
              <w:ind w:left="1289"/>
              <w:rPr>
                <w:rFonts w:ascii="黑体" w:hAnsi="黑体" w:eastAsia="黑体" w:cs="黑体"/>
                <w:sz w:val="17"/>
                <w:szCs w:val="17"/>
              </w:rPr>
            </w:pPr>
            <w:r>
              <w:rPr>
                <w:rFonts w:ascii="黑体" w:hAnsi="黑体" w:eastAsia="黑体" w:cs="黑体"/>
                <w:b/>
                <w:bCs/>
                <w:sz w:val="17"/>
                <w:szCs w:val="17"/>
              </w:rPr>
              <w:t>收费标准</w:t>
            </w:r>
          </w:p>
        </w:tc>
      </w:tr>
      <w:tr w14:paraId="175958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2" w:hRule="atLeast"/>
        </w:trPr>
        <w:tc>
          <w:tcPr>
            <w:tcW w:w="456" w:type="dxa"/>
            <w:vAlign w:val="top"/>
          </w:tcPr>
          <w:p w14:paraId="12BC4858">
            <w:pPr>
              <w:spacing w:line="315" w:lineRule="auto"/>
              <w:rPr>
                <w:rFonts w:ascii="Arial"/>
                <w:sz w:val="21"/>
              </w:rPr>
            </w:pPr>
          </w:p>
          <w:p w14:paraId="5E49F8B5">
            <w:pPr>
              <w:spacing w:line="316" w:lineRule="auto"/>
              <w:rPr>
                <w:rFonts w:ascii="Arial"/>
                <w:sz w:val="21"/>
              </w:rPr>
            </w:pPr>
          </w:p>
          <w:p w14:paraId="3EE701B1">
            <w:pPr>
              <w:pStyle w:val="6"/>
              <w:spacing w:before="55" w:line="242" w:lineRule="auto"/>
              <w:ind w:left="198"/>
            </w:pPr>
            <w:r>
              <w:t>1</w:t>
            </w:r>
          </w:p>
        </w:tc>
        <w:tc>
          <w:tcPr>
            <w:tcW w:w="1000" w:type="dxa"/>
            <w:vAlign w:val="top"/>
          </w:tcPr>
          <w:p w14:paraId="5C275D78">
            <w:pPr>
              <w:spacing w:line="263" w:lineRule="auto"/>
              <w:rPr>
                <w:rFonts w:ascii="Arial"/>
                <w:sz w:val="21"/>
              </w:rPr>
            </w:pPr>
          </w:p>
          <w:p w14:paraId="78786940">
            <w:pPr>
              <w:spacing w:line="263" w:lineRule="auto"/>
              <w:rPr>
                <w:rFonts w:ascii="Arial"/>
                <w:sz w:val="21"/>
              </w:rPr>
            </w:pPr>
          </w:p>
          <w:p w14:paraId="22FE1E58">
            <w:pPr>
              <w:pStyle w:val="6"/>
              <w:spacing w:before="56" w:line="232" w:lineRule="auto"/>
              <w:ind w:left="29" w:right="116"/>
            </w:pPr>
            <w:r>
              <w:rPr>
                <w:spacing w:val="-2"/>
              </w:rPr>
              <w:t>水利建设基</w:t>
            </w:r>
            <w:r>
              <w:t>金</w:t>
            </w:r>
          </w:p>
        </w:tc>
        <w:tc>
          <w:tcPr>
            <w:tcW w:w="1480" w:type="dxa"/>
            <w:vAlign w:val="top"/>
          </w:tcPr>
          <w:p w14:paraId="2D36E0B1">
            <w:pPr>
              <w:spacing w:line="263" w:lineRule="auto"/>
              <w:rPr>
                <w:rFonts w:ascii="Arial"/>
                <w:sz w:val="21"/>
              </w:rPr>
            </w:pPr>
          </w:p>
          <w:p w14:paraId="57B07A3F">
            <w:pPr>
              <w:spacing w:line="263" w:lineRule="auto"/>
              <w:rPr>
                <w:rFonts w:ascii="Arial"/>
                <w:sz w:val="21"/>
              </w:rPr>
            </w:pPr>
          </w:p>
          <w:p w14:paraId="7E86C8CD">
            <w:pPr>
              <w:pStyle w:val="6"/>
              <w:spacing w:before="56" w:line="220" w:lineRule="auto"/>
              <w:ind w:left="56"/>
            </w:pPr>
            <w:r>
              <w:rPr>
                <w:spacing w:val="-1"/>
              </w:rPr>
              <w:t>缴入中央和地方国</w:t>
            </w:r>
          </w:p>
          <w:p w14:paraId="45799EE2">
            <w:pPr>
              <w:pStyle w:val="6"/>
              <w:spacing w:before="6" w:line="220" w:lineRule="auto"/>
              <w:ind w:left="656"/>
            </w:pPr>
            <w:r>
              <w:t>库</w:t>
            </w:r>
          </w:p>
        </w:tc>
        <w:tc>
          <w:tcPr>
            <w:tcW w:w="4364" w:type="dxa"/>
            <w:vAlign w:val="top"/>
          </w:tcPr>
          <w:p w14:paraId="3851467F">
            <w:pPr>
              <w:pStyle w:val="6"/>
              <w:spacing w:before="64" w:line="227" w:lineRule="auto"/>
              <w:ind w:left="32" w:right="154" w:hanging="1"/>
            </w:pPr>
            <w:r>
              <w:t>《中华人民共和国防洪法》，财综字〔1998〕125号，财综〔2011〕2号，财综函〔2011〕</w:t>
            </w:r>
            <w:r>
              <w:rPr>
                <w:spacing w:val="-1"/>
              </w:rPr>
              <w:t>33号，财办</w:t>
            </w:r>
            <w:bookmarkStart w:id="0" w:name="_GoBack"/>
            <w:bookmarkEnd w:id="0"/>
            <w:r>
              <w:rPr>
                <w:spacing w:val="-1"/>
              </w:rPr>
              <w:t>综〔2011〕</w:t>
            </w:r>
          </w:p>
          <w:p w14:paraId="0BECAE3E">
            <w:pPr>
              <w:pStyle w:val="6"/>
              <w:spacing w:before="2" w:line="226" w:lineRule="auto"/>
              <w:ind w:left="29" w:right="53" w:firstLine="13"/>
            </w:pPr>
            <w:r>
              <w:t>111号，财税函〔2016〕291号，财税〔2016〕12号，财税</w:t>
            </w:r>
            <w:r>
              <w:rPr>
                <w:spacing w:val="1"/>
              </w:rPr>
              <w:t>〔2017〕18号,财税〔2020〕9</w:t>
            </w:r>
            <w:r>
              <w:t>号，财税〔2020〕58号，财税〔2020〕72号，《河北省水利建设基金筹集和使用管理办法》，财税[</w:t>
            </w:r>
            <w:r>
              <w:fldChar w:fldCharType="begin"/>
            </w:r>
            <w:r>
              <w:instrText xml:space="preserve"> HYPERLINK \l "bookmark1" </w:instrText>
            </w:r>
            <w:r>
              <w:fldChar w:fldCharType="separate"/>
            </w:r>
            <w:r>
              <w:t>2023</w:t>
            </w:r>
            <w:r>
              <w:fldChar w:fldCharType="end"/>
            </w:r>
            <w:r>
              <w:t>]9号，《河北省税收征管保障办法》</w:t>
            </w:r>
          </w:p>
          <w:p w14:paraId="79B6FB7C">
            <w:pPr>
              <w:pStyle w:val="6"/>
              <w:spacing w:line="219" w:lineRule="auto"/>
              <w:ind w:left="35"/>
            </w:pPr>
            <w:r>
              <w:rPr>
                <w:spacing w:val="-3"/>
              </w:rPr>
              <w:t>（省政府令</w:t>
            </w:r>
            <w:r>
              <w:rPr>
                <w:spacing w:val="-44"/>
              </w:rPr>
              <w:t xml:space="preserve"> </w:t>
            </w:r>
            <w:r>
              <w:rPr>
                <w:spacing w:val="-3"/>
              </w:rPr>
              <w:t>[</w:t>
            </w:r>
            <w:r>
              <w:fldChar w:fldCharType="begin"/>
            </w:r>
            <w:r>
              <w:instrText xml:space="preserve"> HYPERLINK \l "bookmark2" </w:instrText>
            </w:r>
            <w:r>
              <w:fldChar w:fldCharType="separate"/>
            </w:r>
            <w:r>
              <w:rPr>
                <w:spacing w:val="-3"/>
              </w:rPr>
              <w:t>2024</w:t>
            </w:r>
            <w:r>
              <w:rPr>
                <w:spacing w:val="-3"/>
              </w:rPr>
              <w:fldChar w:fldCharType="end"/>
            </w:r>
            <w:r>
              <w:rPr>
                <w:spacing w:val="-3"/>
              </w:rPr>
              <w:t>]第7号修订）</w:t>
            </w:r>
          </w:p>
        </w:tc>
        <w:tc>
          <w:tcPr>
            <w:tcW w:w="3274" w:type="dxa"/>
            <w:vAlign w:val="top"/>
          </w:tcPr>
          <w:p w14:paraId="2B163F3E">
            <w:pPr>
              <w:spacing w:line="263" w:lineRule="auto"/>
              <w:rPr>
                <w:rFonts w:ascii="Arial"/>
                <w:sz w:val="21"/>
              </w:rPr>
            </w:pPr>
          </w:p>
          <w:p w14:paraId="2C35D7B8">
            <w:pPr>
              <w:spacing w:line="263" w:lineRule="auto"/>
              <w:rPr>
                <w:rFonts w:ascii="Arial"/>
                <w:sz w:val="21"/>
              </w:rPr>
            </w:pPr>
          </w:p>
          <w:p w14:paraId="3F69172E">
            <w:pPr>
              <w:pStyle w:val="6"/>
              <w:spacing w:before="55" w:line="229" w:lineRule="auto"/>
              <w:ind w:left="36" w:right="168"/>
            </w:pPr>
            <w:r>
              <w:rPr>
                <w:spacing w:val="-1"/>
              </w:rPr>
              <w:t>按照《河北省水利建设基金筹集和使用管</w:t>
            </w:r>
            <w:r>
              <w:rPr>
                <w:spacing w:val="-3"/>
              </w:rPr>
              <w:t>理办法》规定的标准征收。</w:t>
            </w:r>
          </w:p>
        </w:tc>
      </w:tr>
      <w:tr w14:paraId="35270D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7" w:hRule="atLeast"/>
        </w:trPr>
        <w:tc>
          <w:tcPr>
            <w:tcW w:w="456" w:type="dxa"/>
            <w:vAlign w:val="top"/>
          </w:tcPr>
          <w:p w14:paraId="23434A58">
            <w:pPr>
              <w:spacing w:line="282" w:lineRule="auto"/>
              <w:rPr>
                <w:rFonts w:ascii="Arial"/>
                <w:sz w:val="21"/>
              </w:rPr>
            </w:pPr>
          </w:p>
          <w:p w14:paraId="6AB1A8F6">
            <w:pPr>
              <w:spacing w:line="283" w:lineRule="auto"/>
              <w:rPr>
                <w:rFonts w:ascii="Arial"/>
                <w:sz w:val="21"/>
              </w:rPr>
            </w:pPr>
          </w:p>
          <w:p w14:paraId="12BE7631">
            <w:pPr>
              <w:spacing w:line="283" w:lineRule="auto"/>
              <w:rPr>
                <w:rFonts w:ascii="Arial"/>
                <w:sz w:val="21"/>
              </w:rPr>
            </w:pPr>
          </w:p>
          <w:p w14:paraId="0A4A51CA">
            <w:pPr>
              <w:spacing w:line="283" w:lineRule="auto"/>
              <w:rPr>
                <w:rFonts w:ascii="Arial"/>
                <w:sz w:val="21"/>
              </w:rPr>
            </w:pPr>
          </w:p>
          <w:p w14:paraId="24CAD65C">
            <w:pPr>
              <w:pStyle w:val="6"/>
              <w:spacing w:before="56" w:line="242" w:lineRule="auto"/>
              <w:ind w:left="188"/>
            </w:pPr>
            <w:r>
              <w:t>2</w:t>
            </w:r>
          </w:p>
        </w:tc>
        <w:tc>
          <w:tcPr>
            <w:tcW w:w="1000" w:type="dxa"/>
            <w:vAlign w:val="top"/>
          </w:tcPr>
          <w:p w14:paraId="7A85F10B">
            <w:pPr>
              <w:spacing w:line="257" w:lineRule="auto"/>
              <w:rPr>
                <w:rFonts w:ascii="Arial"/>
                <w:sz w:val="21"/>
              </w:rPr>
            </w:pPr>
          </w:p>
          <w:p w14:paraId="3DBA2B5D">
            <w:pPr>
              <w:spacing w:line="257" w:lineRule="auto"/>
              <w:rPr>
                <w:rFonts w:ascii="Arial"/>
                <w:sz w:val="21"/>
              </w:rPr>
            </w:pPr>
          </w:p>
          <w:p w14:paraId="6628AC62">
            <w:pPr>
              <w:spacing w:line="257" w:lineRule="auto"/>
              <w:rPr>
                <w:rFonts w:ascii="Arial"/>
                <w:sz w:val="21"/>
              </w:rPr>
            </w:pPr>
          </w:p>
          <w:p w14:paraId="16898192">
            <w:pPr>
              <w:spacing w:line="258" w:lineRule="auto"/>
              <w:rPr>
                <w:rFonts w:ascii="Arial"/>
                <w:sz w:val="21"/>
              </w:rPr>
            </w:pPr>
          </w:p>
          <w:p w14:paraId="13BF4B3D">
            <w:pPr>
              <w:pStyle w:val="6"/>
              <w:spacing w:before="56" w:line="229" w:lineRule="auto"/>
              <w:ind w:left="27" w:right="116"/>
            </w:pPr>
            <w:r>
              <w:rPr>
                <w:spacing w:val="-1"/>
              </w:rPr>
              <w:t>城市基础设施配套费</w:t>
            </w:r>
          </w:p>
        </w:tc>
        <w:tc>
          <w:tcPr>
            <w:tcW w:w="1480" w:type="dxa"/>
            <w:vAlign w:val="top"/>
          </w:tcPr>
          <w:p w14:paraId="491E7AF6">
            <w:pPr>
              <w:spacing w:line="283" w:lineRule="auto"/>
              <w:rPr>
                <w:rFonts w:ascii="Arial"/>
                <w:sz w:val="21"/>
              </w:rPr>
            </w:pPr>
          </w:p>
          <w:p w14:paraId="05905932">
            <w:pPr>
              <w:spacing w:line="283" w:lineRule="auto"/>
              <w:rPr>
                <w:rFonts w:ascii="Arial"/>
                <w:sz w:val="21"/>
              </w:rPr>
            </w:pPr>
          </w:p>
          <w:p w14:paraId="03E71307">
            <w:pPr>
              <w:spacing w:line="283" w:lineRule="auto"/>
              <w:rPr>
                <w:rFonts w:ascii="Arial"/>
                <w:sz w:val="21"/>
              </w:rPr>
            </w:pPr>
          </w:p>
          <w:p w14:paraId="0B6DE0AD">
            <w:pPr>
              <w:spacing w:line="283" w:lineRule="auto"/>
              <w:rPr>
                <w:rFonts w:ascii="Arial"/>
                <w:sz w:val="21"/>
              </w:rPr>
            </w:pPr>
          </w:p>
          <w:p w14:paraId="421BD006">
            <w:pPr>
              <w:pStyle w:val="6"/>
              <w:spacing w:before="55" w:line="220" w:lineRule="auto"/>
              <w:ind w:left="226"/>
            </w:pPr>
            <w:r>
              <w:rPr>
                <w:spacing w:val="-1"/>
              </w:rPr>
              <w:t>缴入地方国库</w:t>
            </w:r>
          </w:p>
        </w:tc>
        <w:tc>
          <w:tcPr>
            <w:tcW w:w="4364" w:type="dxa"/>
            <w:vAlign w:val="top"/>
          </w:tcPr>
          <w:p w14:paraId="1E3BDB52">
            <w:pPr>
              <w:pStyle w:val="6"/>
              <w:spacing w:before="149" w:line="221" w:lineRule="auto"/>
              <w:ind w:left="47"/>
            </w:pPr>
            <w:r>
              <w:t>国发〔1998〕34号，财综函〔2002〕3号，财综〔2007〕</w:t>
            </w:r>
          </w:p>
          <w:p w14:paraId="57793A9C">
            <w:pPr>
              <w:pStyle w:val="6"/>
              <w:spacing w:before="5" w:line="227" w:lineRule="auto"/>
              <w:ind w:left="46" w:right="59" w:hanging="13"/>
            </w:pPr>
            <w:r>
              <w:t>53号，财税〔2019〕53号，财政部 税务总局 发展改革委民政部 商务部 卫生健康委公告2019年第</w:t>
            </w:r>
            <w:r>
              <w:rPr>
                <w:spacing w:val="-1"/>
              </w:rPr>
              <w:t>76号，财政部</w:t>
            </w:r>
          </w:p>
          <w:p w14:paraId="407A82FC">
            <w:pPr>
              <w:pStyle w:val="6"/>
              <w:spacing w:line="218" w:lineRule="auto"/>
              <w:ind w:left="29"/>
            </w:pPr>
            <w:r>
              <w:t>税务总局 住房城乡建设部公告2023年第70号，财综</w:t>
            </w:r>
          </w:p>
          <w:p w14:paraId="6DE772B7">
            <w:pPr>
              <w:pStyle w:val="6"/>
              <w:spacing w:before="6" w:line="227" w:lineRule="auto"/>
              <w:ind w:left="31" w:right="41" w:firstLine="25"/>
            </w:pPr>
            <w:r>
              <w:t>[</w:t>
            </w:r>
            <w:r>
              <w:fldChar w:fldCharType="begin"/>
            </w:r>
            <w:r>
              <w:instrText xml:space="preserve"> HYPERLINK \l "bookmark3" </w:instrText>
            </w:r>
            <w:r>
              <w:fldChar w:fldCharType="separate"/>
            </w:r>
            <w:r>
              <w:t>2023</w:t>
            </w:r>
            <w:r>
              <w:fldChar w:fldCharType="end"/>
            </w:r>
            <w:r>
              <w:t>]39号，冀政发[</w:t>
            </w:r>
            <w:r>
              <w:fldChar w:fldCharType="begin"/>
            </w:r>
            <w:r>
              <w:instrText xml:space="preserve"> HYPERLINK \l "bookmark4" </w:instrText>
            </w:r>
            <w:r>
              <w:fldChar w:fldCharType="separate"/>
            </w:r>
            <w:r>
              <w:t>2016</w:t>
            </w:r>
            <w:r>
              <w:fldChar w:fldCharType="end"/>
            </w:r>
            <w:r>
              <w:t>]51号，冀财税[</w:t>
            </w:r>
            <w:r>
              <w:fldChar w:fldCharType="begin"/>
            </w:r>
            <w:r>
              <w:instrText xml:space="preserve"> HYPERLINK \l "bookmark5" </w:instrText>
            </w:r>
            <w:r>
              <w:fldChar w:fldCharType="separate"/>
            </w:r>
            <w:r>
              <w:t>2015</w:t>
            </w:r>
            <w:r>
              <w:fldChar w:fldCharType="end"/>
            </w:r>
            <w:r>
              <w:t>]34号，冀</w:t>
            </w:r>
            <w:r>
              <w:rPr>
                <w:spacing w:val="1"/>
              </w:rPr>
              <w:t>财税[</w:t>
            </w:r>
            <w:r>
              <w:fldChar w:fldCharType="begin"/>
            </w:r>
            <w:r>
              <w:instrText xml:space="preserve"> HYPERLINK \l "bookmark6" </w:instrText>
            </w:r>
            <w:r>
              <w:fldChar w:fldCharType="separate"/>
            </w:r>
            <w:r>
              <w:rPr>
                <w:spacing w:val="1"/>
              </w:rPr>
              <w:t>2017</w:t>
            </w:r>
            <w:r>
              <w:rPr>
                <w:spacing w:val="1"/>
              </w:rPr>
              <w:fldChar w:fldCharType="end"/>
            </w:r>
            <w:r>
              <w:rPr>
                <w:spacing w:val="1"/>
              </w:rPr>
              <w:t>]13号、14号、15号、16</w:t>
            </w:r>
            <w:r>
              <w:t>号、17号、20号、21号 、22号、23号、25号、38号，国发[</w:t>
            </w:r>
            <w:r>
              <w:fldChar w:fldCharType="begin"/>
            </w:r>
            <w:r>
              <w:instrText xml:space="preserve"> HYPERLINK \l "bookmark7" </w:instrText>
            </w:r>
            <w:r>
              <w:fldChar w:fldCharType="separate"/>
            </w:r>
            <w:r>
              <w:t>2007</w:t>
            </w:r>
            <w:r>
              <w:fldChar w:fldCharType="end"/>
            </w:r>
            <w:r>
              <w:t>]24号，《河北省人民防空工程维护与使用管理条例》，冀政[</w:t>
            </w:r>
            <w:r>
              <w:fldChar w:fldCharType="begin"/>
            </w:r>
            <w:r>
              <w:instrText xml:space="preserve"> HYPERLINK \l "bookmark8" </w:instrText>
            </w:r>
            <w:r>
              <w:fldChar w:fldCharType="separate"/>
            </w:r>
            <w:r>
              <w:t>2009</w:t>
            </w:r>
            <w:r>
              <w:fldChar w:fldCharType="end"/>
            </w:r>
            <w:r>
              <w:t>]192</w:t>
            </w:r>
          </w:p>
          <w:p w14:paraId="69402EEB">
            <w:pPr>
              <w:pStyle w:val="6"/>
              <w:spacing w:before="2" w:line="228" w:lineRule="auto"/>
              <w:ind w:left="29" w:right="76" w:firstLine="4"/>
            </w:pPr>
            <w:r>
              <w:t>号，省政府令[</w:t>
            </w:r>
            <w:r>
              <w:fldChar w:fldCharType="begin"/>
            </w:r>
            <w:r>
              <w:instrText xml:space="preserve"> HYPERLINK \l "bookmark9" </w:instrText>
            </w:r>
            <w:r>
              <w:fldChar w:fldCharType="separate"/>
            </w:r>
            <w:r>
              <w:t>2011</w:t>
            </w:r>
            <w:r>
              <w:fldChar w:fldCharType="end"/>
            </w:r>
            <w:r>
              <w:t>]6号，冀财非税[</w:t>
            </w:r>
            <w:r>
              <w:fldChar w:fldCharType="begin"/>
            </w:r>
            <w:r>
              <w:instrText xml:space="preserve"> HYPERLINK \l "bookmark10" </w:instrText>
            </w:r>
            <w:r>
              <w:fldChar w:fldCharType="separate"/>
            </w:r>
            <w:r>
              <w:t>2021</w:t>
            </w:r>
            <w:r>
              <w:fldChar w:fldCharType="end"/>
            </w:r>
            <w:r>
              <w:t>]19号，冀财非税[</w:t>
            </w:r>
            <w:r>
              <w:fldChar w:fldCharType="begin"/>
            </w:r>
            <w:r>
              <w:instrText xml:space="preserve"> HYPERLINK \l "bookmark11" </w:instrText>
            </w:r>
            <w:r>
              <w:fldChar w:fldCharType="separate"/>
            </w:r>
            <w:r>
              <w:t>2022</w:t>
            </w:r>
            <w:r>
              <w:fldChar w:fldCharType="end"/>
            </w:r>
            <w:r>
              <w:t>]5号、6号、7号，冀财非税函[</w:t>
            </w:r>
            <w:r>
              <w:fldChar w:fldCharType="begin"/>
            </w:r>
            <w:r>
              <w:instrText xml:space="preserve"> HYPERLINK \l "bookmark11" </w:instrText>
            </w:r>
            <w:r>
              <w:fldChar w:fldCharType="separate"/>
            </w:r>
            <w:r>
              <w:t>2022</w:t>
            </w:r>
            <w:r>
              <w:fldChar w:fldCharType="end"/>
            </w:r>
            <w:r>
              <w:t>]3号、</w:t>
            </w:r>
            <w:r>
              <w:rPr>
                <w:spacing w:val="-1"/>
              </w:rPr>
              <w:t>4、6、</w:t>
            </w:r>
            <w:r>
              <w:t xml:space="preserve"> </w:t>
            </w:r>
            <w:r>
              <w:rPr>
                <w:spacing w:val="-1"/>
              </w:rPr>
              <w:t>7号</w:t>
            </w:r>
          </w:p>
        </w:tc>
        <w:tc>
          <w:tcPr>
            <w:tcW w:w="3274" w:type="dxa"/>
            <w:vAlign w:val="top"/>
          </w:tcPr>
          <w:p w14:paraId="0C049D60">
            <w:pPr>
              <w:spacing w:line="273" w:lineRule="auto"/>
              <w:rPr>
                <w:rFonts w:ascii="Arial"/>
                <w:sz w:val="21"/>
              </w:rPr>
            </w:pPr>
          </w:p>
          <w:p w14:paraId="2EE6BD30">
            <w:pPr>
              <w:spacing w:line="274" w:lineRule="auto"/>
              <w:rPr>
                <w:rFonts w:ascii="Arial"/>
                <w:sz w:val="21"/>
              </w:rPr>
            </w:pPr>
          </w:p>
          <w:p w14:paraId="5857E87A">
            <w:pPr>
              <w:spacing w:line="274" w:lineRule="auto"/>
              <w:rPr>
                <w:rFonts w:ascii="Arial"/>
                <w:sz w:val="21"/>
              </w:rPr>
            </w:pPr>
          </w:p>
          <w:p w14:paraId="7EAA40DE">
            <w:pPr>
              <w:pStyle w:val="6"/>
              <w:spacing w:before="55" w:line="228" w:lineRule="auto"/>
              <w:ind w:left="35" w:right="76" w:firstLine="2"/>
              <w:jc w:val="both"/>
            </w:pPr>
            <w:r>
              <w:t>设区的市城市规划区80-180元/平米，县级市规划区60-120元/平米，县城规划区40-</w:t>
            </w:r>
            <w:r>
              <w:rPr>
                <w:spacing w:val="4"/>
              </w:rPr>
              <w:t xml:space="preserve"> </w:t>
            </w:r>
            <w:r>
              <w:t>90/平米，上述规划区以外的建制镇规划区</w:t>
            </w:r>
            <w:r>
              <w:rPr>
                <w:spacing w:val="-2"/>
              </w:rPr>
              <w:t>20-50/平米。</w:t>
            </w:r>
          </w:p>
        </w:tc>
      </w:tr>
      <w:tr w14:paraId="36B42A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80" w:hRule="atLeast"/>
        </w:trPr>
        <w:tc>
          <w:tcPr>
            <w:tcW w:w="456" w:type="dxa"/>
            <w:vAlign w:val="top"/>
          </w:tcPr>
          <w:p w14:paraId="633F4BD1">
            <w:pPr>
              <w:spacing w:line="269" w:lineRule="auto"/>
              <w:rPr>
                <w:rFonts w:ascii="Arial"/>
                <w:sz w:val="21"/>
              </w:rPr>
            </w:pPr>
          </w:p>
          <w:p w14:paraId="64EBB449">
            <w:pPr>
              <w:spacing w:line="269" w:lineRule="auto"/>
              <w:rPr>
                <w:rFonts w:ascii="Arial"/>
                <w:sz w:val="21"/>
              </w:rPr>
            </w:pPr>
          </w:p>
          <w:p w14:paraId="5E64933C">
            <w:pPr>
              <w:spacing w:line="269" w:lineRule="auto"/>
              <w:rPr>
                <w:rFonts w:ascii="Arial"/>
                <w:sz w:val="21"/>
              </w:rPr>
            </w:pPr>
          </w:p>
          <w:p w14:paraId="3A942BCF">
            <w:pPr>
              <w:pStyle w:val="6"/>
              <w:spacing w:before="55"/>
              <w:ind w:left="189"/>
            </w:pPr>
            <w:r>
              <w:t>3</w:t>
            </w:r>
          </w:p>
        </w:tc>
        <w:tc>
          <w:tcPr>
            <w:tcW w:w="1000" w:type="dxa"/>
            <w:vAlign w:val="top"/>
          </w:tcPr>
          <w:p w14:paraId="672C3292">
            <w:pPr>
              <w:spacing w:line="269" w:lineRule="auto"/>
              <w:rPr>
                <w:rFonts w:ascii="Arial"/>
                <w:sz w:val="21"/>
              </w:rPr>
            </w:pPr>
          </w:p>
          <w:p w14:paraId="49DDD2F0">
            <w:pPr>
              <w:spacing w:line="269" w:lineRule="auto"/>
              <w:rPr>
                <w:rFonts w:ascii="Arial"/>
                <w:sz w:val="21"/>
              </w:rPr>
            </w:pPr>
          </w:p>
          <w:p w14:paraId="68CAB1AB">
            <w:pPr>
              <w:spacing w:line="269" w:lineRule="auto"/>
              <w:rPr>
                <w:rFonts w:ascii="Arial"/>
                <w:sz w:val="21"/>
              </w:rPr>
            </w:pPr>
          </w:p>
          <w:p w14:paraId="457C01BB">
            <w:pPr>
              <w:pStyle w:val="6"/>
              <w:spacing w:before="55" w:line="219" w:lineRule="auto"/>
              <w:ind w:left="30"/>
            </w:pPr>
            <w:r>
              <w:rPr>
                <w:spacing w:val="-2"/>
              </w:rPr>
              <w:t>教育费附加</w:t>
            </w:r>
          </w:p>
        </w:tc>
        <w:tc>
          <w:tcPr>
            <w:tcW w:w="1480" w:type="dxa"/>
            <w:vAlign w:val="top"/>
          </w:tcPr>
          <w:p w14:paraId="583083A4">
            <w:pPr>
              <w:spacing w:line="352" w:lineRule="auto"/>
              <w:rPr>
                <w:rFonts w:ascii="Arial"/>
                <w:sz w:val="21"/>
              </w:rPr>
            </w:pPr>
          </w:p>
          <w:p w14:paraId="61FCDA0A">
            <w:pPr>
              <w:spacing w:line="352" w:lineRule="auto"/>
              <w:rPr>
                <w:rFonts w:ascii="Arial"/>
                <w:sz w:val="21"/>
              </w:rPr>
            </w:pPr>
          </w:p>
          <w:p w14:paraId="5E264149">
            <w:pPr>
              <w:pStyle w:val="6"/>
              <w:spacing w:before="55" w:line="220" w:lineRule="auto"/>
              <w:ind w:left="56"/>
            </w:pPr>
            <w:r>
              <w:rPr>
                <w:spacing w:val="-1"/>
              </w:rPr>
              <w:t>缴入中央和地方国</w:t>
            </w:r>
          </w:p>
          <w:p w14:paraId="47BE1B8A">
            <w:pPr>
              <w:pStyle w:val="6"/>
              <w:spacing w:before="6" w:line="220" w:lineRule="auto"/>
              <w:ind w:left="656"/>
            </w:pPr>
            <w:r>
              <w:t>库</w:t>
            </w:r>
          </w:p>
        </w:tc>
        <w:tc>
          <w:tcPr>
            <w:tcW w:w="4364" w:type="dxa"/>
            <w:vAlign w:val="top"/>
          </w:tcPr>
          <w:p w14:paraId="5BF5E7DD">
            <w:pPr>
              <w:pStyle w:val="6"/>
              <w:spacing w:before="30" w:line="227" w:lineRule="auto"/>
              <w:ind w:left="31" w:right="54"/>
            </w:pPr>
            <w:r>
              <w:t>《中华人民共和国教育法》，国发〔1986〕50号(国务院令第60号修改发布</w:t>
            </w:r>
            <w:r>
              <w:rPr>
                <w:spacing w:val="5"/>
              </w:rPr>
              <w:t>），</w:t>
            </w:r>
            <w:r>
              <w:t>国发明电〔1994〕2号、23号，财</w:t>
            </w:r>
            <w:r>
              <w:rPr>
                <w:spacing w:val="1"/>
              </w:rPr>
              <w:t>综〔2007〕53号，国发〔2010〕</w:t>
            </w:r>
            <w:r>
              <w:t>35号，财税〔2010〕103号，财税〔2016〕12号，财税〔2019〕13号，财税〔2019</w:t>
            </w:r>
            <w:r>
              <w:rPr>
                <w:spacing w:val="17"/>
              </w:rPr>
              <w:t xml:space="preserve"> </w:t>
            </w:r>
            <w:r>
              <w:t>〕21号，财税〔2019〕22号，财税〔2019〕46号，财政部国家税务总局公告2022年第4号，财政部 税务总局公告</w:t>
            </w:r>
          </w:p>
          <w:p w14:paraId="29BD5725">
            <w:pPr>
              <w:pStyle w:val="6"/>
              <w:spacing w:before="2" w:line="211" w:lineRule="auto"/>
              <w:ind w:left="31" w:right="55" w:firstLine="1"/>
            </w:pPr>
            <w:r>
              <w:t>2023年第12号、14号，财政部 税务总局 住房城乡建设部公告2023年第70号，财综[</w:t>
            </w:r>
            <w:r>
              <w:fldChar w:fldCharType="begin"/>
            </w:r>
            <w:r>
              <w:instrText xml:space="preserve"> HYPERLINK \l "bookmark12" </w:instrText>
            </w:r>
            <w:r>
              <w:fldChar w:fldCharType="separate"/>
            </w:r>
            <w:r>
              <w:t>2023</w:t>
            </w:r>
            <w:r>
              <w:fldChar w:fldCharType="end"/>
            </w:r>
            <w:r>
              <w:t>]39号，《河北省税收征管</w:t>
            </w:r>
            <w:r>
              <w:rPr>
                <w:spacing w:val="-1"/>
              </w:rPr>
              <w:t>保障办法》（省政府令[</w:t>
            </w:r>
            <w:r>
              <w:fldChar w:fldCharType="begin"/>
            </w:r>
            <w:r>
              <w:instrText xml:space="preserve"> HYPERLINK \l "bookmark13" </w:instrText>
            </w:r>
            <w:r>
              <w:fldChar w:fldCharType="separate"/>
            </w:r>
            <w:r>
              <w:rPr>
                <w:spacing w:val="-1"/>
              </w:rPr>
              <w:t>2024</w:t>
            </w:r>
            <w:r>
              <w:rPr>
                <w:spacing w:val="-1"/>
              </w:rPr>
              <w:fldChar w:fldCharType="end"/>
            </w:r>
            <w:r>
              <w:rPr>
                <w:spacing w:val="-1"/>
              </w:rPr>
              <w:t>]第7号修订）</w:t>
            </w:r>
          </w:p>
        </w:tc>
        <w:tc>
          <w:tcPr>
            <w:tcW w:w="3274" w:type="dxa"/>
            <w:vAlign w:val="top"/>
          </w:tcPr>
          <w:p w14:paraId="669F6B8A">
            <w:pPr>
              <w:spacing w:line="352" w:lineRule="auto"/>
              <w:rPr>
                <w:rFonts w:ascii="Arial"/>
                <w:sz w:val="21"/>
              </w:rPr>
            </w:pPr>
          </w:p>
          <w:p w14:paraId="6A308799">
            <w:pPr>
              <w:spacing w:line="352" w:lineRule="auto"/>
              <w:rPr>
                <w:rFonts w:ascii="Arial"/>
                <w:sz w:val="21"/>
              </w:rPr>
            </w:pPr>
          </w:p>
          <w:p w14:paraId="7349F2F2">
            <w:pPr>
              <w:pStyle w:val="6"/>
              <w:spacing w:before="56" w:line="229" w:lineRule="auto"/>
              <w:ind w:left="43" w:right="166" w:hanging="9"/>
            </w:pPr>
            <w:r>
              <w:t>应纳教育费附加=（实际缴纳的增值税+消</w:t>
            </w:r>
            <w:r>
              <w:rPr>
                <w:spacing w:val="-3"/>
              </w:rPr>
              <w:t>费税）×3%</w:t>
            </w:r>
          </w:p>
        </w:tc>
      </w:tr>
      <w:tr w14:paraId="4423B7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2" w:hRule="atLeast"/>
        </w:trPr>
        <w:tc>
          <w:tcPr>
            <w:tcW w:w="456" w:type="dxa"/>
            <w:vAlign w:val="top"/>
          </w:tcPr>
          <w:p w14:paraId="3A33D811">
            <w:pPr>
              <w:spacing w:line="271" w:lineRule="auto"/>
              <w:rPr>
                <w:rFonts w:ascii="Arial"/>
                <w:sz w:val="21"/>
              </w:rPr>
            </w:pPr>
          </w:p>
          <w:p w14:paraId="72C44AA2">
            <w:pPr>
              <w:spacing w:line="271" w:lineRule="auto"/>
              <w:rPr>
                <w:rFonts w:ascii="Arial"/>
                <w:sz w:val="21"/>
              </w:rPr>
            </w:pPr>
          </w:p>
          <w:p w14:paraId="228E17E7">
            <w:pPr>
              <w:spacing w:line="271" w:lineRule="auto"/>
              <w:rPr>
                <w:rFonts w:ascii="Arial"/>
                <w:sz w:val="21"/>
              </w:rPr>
            </w:pPr>
          </w:p>
          <w:p w14:paraId="7314C0B7">
            <w:pPr>
              <w:spacing w:line="271" w:lineRule="auto"/>
              <w:rPr>
                <w:rFonts w:ascii="Arial"/>
                <w:sz w:val="21"/>
              </w:rPr>
            </w:pPr>
          </w:p>
          <w:p w14:paraId="443E3F40">
            <w:pPr>
              <w:spacing w:line="271" w:lineRule="auto"/>
              <w:rPr>
                <w:rFonts w:ascii="Arial"/>
                <w:sz w:val="21"/>
              </w:rPr>
            </w:pPr>
          </w:p>
          <w:p w14:paraId="7030A4D8">
            <w:pPr>
              <w:spacing w:line="271" w:lineRule="auto"/>
              <w:rPr>
                <w:rFonts w:ascii="Arial"/>
                <w:sz w:val="21"/>
              </w:rPr>
            </w:pPr>
          </w:p>
          <w:p w14:paraId="356A2B21">
            <w:pPr>
              <w:pStyle w:val="6"/>
              <w:spacing w:before="55" w:line="242" w:lineRule="auto"/>
              <w:ind w:left="185"/>
            </w:pPr>
            <w:r>
              <w:t>4</w:t>
            </w:r>
          </w:p>
        </w:tc>
        <w:tc>
          <w:tcPr>
            <w:tcW w:w="1000" w:type="dxa"/>
            <w:vAlign w:val="top"/>
          </w:tcPr>
          <w:p w14:paraId="30AEC2DD">
            <w:pPr>
              <w:spacing w:line="253" w:lineRule="auto"/>
              <w:rPr>
                <w:rFonts w:ascii="Arial"/>
                <w:sz w:val="21"/>
              </w:rPr>
            </w:pPr>
          </w:p>
          <w:p w14:paraId="02050325">
            <w:pPr>
              <w:spacing w:line="253" w:lineRule="auto"/>
              <w:rPr>
                <w:rFonts w:ascii="Arial"/>
                <w:sz w:val="21"/>
              </w:rPr>
            </w:pPr>
          </w:p>
          <w:p w14:paraId="57538E53">
            <w:pPr>
              <w:spacing w:line="253" w:lineRule="auto"/>
              <w:rPr>
                <w:rFonts w:ascii="Arial"/>
                <w:sz w:val="21"/>
              </w:rPr>
            </w:pPr>
          </w:p>
          <w:p w14:paraId="527F7BCA">
            <w:pPr>
              <w:spacing w:line="254" w:lineRule="auto"/>
              <w:rPr>
                <w:rFonts w:ascii="Arial"/>
                <w:sz w:val="21"/>
              </w:rPr>
            </w:pPr>
          </w:p>
          <w:p w14:paraId="490752E1">
            <w:pPr>
              <w:spacing w:line="254" w:lineRule="auto"/>
              <w:rPr>
                <w:rFonts w:ascii="Arial"/>
                <w:sz w:val="21"/>
              </w:rPr>
            </w:pPr>
          </w:p>
          <w:p w14:paraId="345F0062">
            <w:pPr>
              <w:spacing w:line="254" w:lineRule="auto"/>
              <w:rPr>
                <w:rFonts w:ascii="Arial"/>
                <w:sz w:val="21"/>
              </w:rPr>
            </w:pPr>
          </w:p>
          <w:p w14:paraId="4E53B5CB">
            <w:pPr>
              <w:pStyle w:val="6"/>
              <w:spacing w:before="55" w:line="231" w:lineRule="auto"/>
              <w:ind w:left="28" w:right="116"/>
            </w:pPr>
            <w:r>
              <w:rPr>
                <w:spacing w:val="-1"/>
              </w:rPr>
              <w:t>地方教育附</w:t>
            </w:r>
            <w:r>
              <w:t>加</w:t>
            </w:r>
          </w:p>
        </w:tc>
        <w:tc>
          <w:tcPr>
            <w:tcW w:w="1480" w:type="dxa"/>
            <w:vAlign w:val="top"/>
          </w:tcPr>
          <w:p w14:paraId="47849FE5">
            <w:pPr>
              <w:spacing w:line="271" w:lineRule="auto"/>
              <w:rPr>
                <w:rFonts w:ascii="Arial"/>
                <w:sz w:val="21"/>
              </w:rPr>
            </w:pPr>
          </w:p>
          <w:p w14:paraId="7D55D50F">
            <w:pPr>
              <w:spacing w:line="271" w:lineRule="auto"/>
              <w:rPr>
                <w:rFonts w:ascii="Arial"/>
                <w:sz w:val="21"/>
              </w:rPr>
            </w:pPr>
          </w:p>
          <w:p w14:paraId="6850FE35">
            <w:pPr>
              <w:spacing w:line="271" w:lineRule="auto"/>
              <w:rPr>
                <w:rFonts w:ascii="Arial"/>
                <w:sz w:val="21"/>
              </w:rPr>
            </w:pPr>
          </w:p>
          <w:p w14:paraId="7062357F">
            <w:pPr>
              <w:spacing w:line="271" w:lineRule="auto"/>
              <w:rPr>
                <w:rFonts w:ascii="Arial"/>
                <w:sz w:val="21"/>
              </w:rPr>
            </w:pPr>
          </w:p>
          <w:p w14:paraId="621C79D0">
            <w:pPr>
              <w:spacing w:line="271" w:lineRule="auto"/>
              <w:rPr>
                <w:rFonts w:ascii="Arial"/>
                <w:sz w:val="21"/>
              </w:rPr>
            </w:pPr>
          </w:p>
          <w:p w14:paraId="56B1D80B">
            <w:pPr>
              <w:spacing w:line="271" w:lineRule="auto"/>
              <w:rPr>
                <w:rFonts w:ascii="Arial"/>
                <w:sz w:val="21"/>
              </w:rPr>
            </w:pPr>
          </w:p>
          <w:p w14:paraId="35FB4759">
            <w:pPr>
              <w:pStyle w:val="6"/>
              <w:spacing w:before="56" w:line="220" w:lineRule="auto"/>
              <w:ind w:left="226"/>
            </w:pPr>
            <w:r>
              <w:rPr>
                <w:spacing w:val="-1"/>
              </w:rPr>
              <w:t>缴入地方国库</w:t>
            </w:r>
          </w:p>
        </w:tc>
        <w:tc>
          <w:tcPr>
            <w:tcW w:w="4364" w:type="dxa"/>
            <w:vAlign w:val="top"/>
          </w:tcPr>
          <w:p w14:paraId="00504477">
            <w:pPr>
              <w:pStyle w:val="6"/>
              <w:spacing w:before="20" w:line="227" w:lineRule="auto"/>
              <w:ind w:left="32" w:right="55" w:hanging="1"/>
            </w:pPr>
            <w:r>
              <w:t>《中华人民共和国教育法》，财综〔2001〕58号，财综函〔2003〕2号、9号、10号、12号、13号、14号、15号、16号、18号，财综〔2004〕73号，财综函〔2005〕33号，财</w:t>
            </w:r>
            <w:r>
              <w:rPr>
                <w:spacing w:val="-1"/>
              </w:rPr>
              <w:t>综〔2006〕2号、61号，财综函〔2006〕9号，财综函〔</w:t>
            </w:r>
          </w:p>
          <w:p w14:paraId="1A02A659">
            <w:pPr>
              <w:pStyle w:val="6"/>
              <w:spacing w:line="220" w:lineRule="auto"/>
              <w:ind w:left="32"/>
            </w:pPr>
            <w:r>
              <w:t>2007〕45号，财综〔2007〕53号，财综函〔2</w:t>
            </w:r>
            <w:r>
              <w:rPr>
                <w:spacing w:val="-1"/>
              </w:rPr>
              <w:t>008〕7号，</w:t>
            </w:r>
          </w:p>
          <w:p w14:paraId="376F18F6">
            <w:pPr>
              <w:pStyle w:val="6"/>
              <w:spacing w:before="3" w:line="227" w:lineRule="auto"/>
              <w:ind w:left="31" w:right="52"/>
            </w:pPr>
            <w:r>
              <w:t>财综函〔2010〕2号、3号、7号、8号、11号、71号、72号</w:t>
            </w:r>
            <w:r>
              <w:rPr>
                <w:spacing w:val="15"/>
              </w:rPr>
              <w:t xml:space="preserve"> </w:t>
            </w:r>
            <w:r>
              <w:t>、73号、75号、76号、78号、79号、80号，财综〔2010〕</w:t>
            </w:r>
            <w:r>
              <w:rPr>
                <w:spacing w:val="16"/>
              </w:rPr>
              <w:t xml:space="preserve"> </w:t>
            </w:r>
            <w:r>
              <w:t>98号，财综函〔2011〕1号、2号、3</w:t>
            </w:r>
            <w:r>
              <w:rPr>
                <w:spacing w:val="-1"/>
              </w:rPr>
              <w:t>号、4号、5号、6号、</w:t>
            </w:r>
            <w:r>
              <w:t xml:space="preserve"> 7号、8号、9号、10号、11号、12号、13号、15号、16号</w:t>
            </w:r>
            <w:r>
              <w:rPr>
                <w:spacing w:val="8"/>
              </w:rPr>
              <w:t xml:space="preserve">  </w:t>
            </w:r>
            <w:r>
              <w:t>、17号、57号，财税〔2016〕12号，财税〔2018〕70号，</w:t>
            </w:r>
            <w:r>
              <w:rPr>
                <w:spacing w:val="1"/>
              </w:rPr>
              <w:t>财税〔2019〕13号，财税〔2019</w:t>
            </w:r>
            <w:r>
              <w:t>〕21号，财税〔2019〕22</w:t>
            </w:r>
            <w:r>
              <w:rPr>
                <w:spacing w:val="-1"/>
              </w:rPr>
              <w:t>号，财税〔2019〕46号，财政部</w:t>
            </w:r>
            <w:r>
              <w:rPr>
                <w:spacing w:val="40"/>
              </w:rPr>
              <w:t xml:space="preserve"> </w:t>
            </w:r>
            <w:r>
              <w:rPr>
                <w:spacing w:val="-1"/>
              </w:rPr>
              <w:t>国家税务总局公告2022</w:t>
            </w:r>
            <w:r>
              <w:rPr>
                <w:spacing w:val="-2"/>
              </w:rPr>
              <w:t>年第4号，《河北省地方教育附加征收使用管理规定》，</w:t>
            </w:r>
          </w:p>
          <w:p w14:paraId="4B7B2A25">
            <w:pPr>
              <w:pStyle w:val="6"/>
              <w:spacing w:before="2" w:line="210" w:lineRule="auto"/>
              <w:ind w:left="32" w:right="59" w:hanging="1"/>
            </w:pPr>
            <w:r>
              <w:t>财政部 税务总局公告2023年第12号、14号，财政部 税务总局 住房城乡建设部公告2023年第70号，财综[</w:t>
            </w:r>
            <w:r>
              <w:fldChar w:fldCharType="begin"/>
            </w:r>
            <w:r>
              <w:instrText xml:space="preserve"> HYPERLINK \l "bookmark14" </w:instrText>
            </w:r>
            <w:r>
              <w:fldChar w:fldCharType="separate"/>
            </w:r>
            <w:r>
              <w:t>2023</w:t>
            </w:r>
            <w:r>
              <w:fldChar w:fldCharType="end"/>
            </w:r>
            <w:r>
              <w:t>]39号，《河北省税收征管保障办法》（省政府令[</w:t>
            </w:r>
            <w:r>
              <w:fldChar w:fldCharType="begin"/>
            </w:r>
            <w:r>
              <w:instrText xml:space="preserve"> HYPERLINK \l "bookmark15" </w:instrText>
            </w:r>
            <w:r>
              <w:fldChar w:fldCharType="separate"/>
            </w:r>
            <w:r>
              <w:t>2024</w:t>
            </w:r>
            <w:r>
              <w:fldChar w:fldCharType="end"/>
            </w:r>
            <w:r>
              <w:t>]第7</w:t>
            </w:r>
            <w:r>
              <w:rPr>
                <w:spacing w:val="-4"/>
              </w:rPr>
              <w:t>号修订）</w:t>
            </w:r>
          </w:p>
        </w:tc>
        <w:tc>
          <w:tcPr>
            <w:tcW w:w="3274" w:type="dxa"/>
            <w:vAlign w:val="top"/>
          </w:tcPr>
          <w:p w14:paraId="570D2F9A">
            <w:pPr>
              <w:spacing w:line="253" w:lineRule="auto"/>
              <w:rPr>
                <w:rFonts w:ascii="Arial"/>
                <w:sz w:val="21"/>
              </w:rPr>
            </w:pPr>
          </w:p>
          <w:p w14:paraId="7FC60114">
            <w:pPr>
              <w:spacing w:line="253" w:lineRule="auto"/>
              <w:rPr>
                <w:rFonts w:ascii="Arial"/>
                <w:sz w:val="21"/>
              </w:rPr>
            </w:pPr>
          </w:p>
          <w:p w14:paraId="1F3F58DB">
            <w:pPr>
              <w:spacing w:line="254" w:lineRule="auto"/>
              <w:rPr>
                <w:rFonts w:ascii="Arial"/>
                <w:sz w:val="21"/>
              </w:rPr>
            </w:pPr>
          </w:p>
          <w:p w14:paraId="1BDCD1A8">
            <w:pPr>
              <w:spacing w:line="254" w:lineRule="auto"/>
              <w:rPr>
                <w:rFonts w:ascii="Arial"/>
                <w:sz w:val="21"/>
              </w:rPr>
            </w:pPr>
          </w:p>
          <w:p w14:paraId="043C5FE0">
            <w:pPr>
              <w:spacing w:line="254" w:lineRule="auto"/>
              <w:rPr>
                <w:rFonts w:ascii="Arial"/>
                <w:sz w:val="21"/>
              </w:rPr>
            </w:pPr>
          </w:p>
          <w:p w14:paraId="434248F1">
            <w:pPr>
              <w:spacing w:line="254" w:lineRule="auto"/>
              <w:rPr>
                <w:rFonts w:ascii="Arial"/>
                <w:sz w:val="21"/>
              </w:rPr>
            </w:pPr>
          </w:p>
          <w:p w14:paraId="263B2A2D">
            <w:pPr>
              <w:pStyle w:val="6"/>
              <w:spacing w:before="55" w:line="229" w:lineRule="auto"/>
              <w:ind w:left="34" w:right="166"/>
            </w:pPr>
            <w:r>
              <w:t>地方教育附加=（实际缴纳的增值税+消费</w:t>
            </w:r>
            <w:r>
              <w:rPr>
                <w:spacing w:val="-1"/>
              </w:rPr>
              <w:t>税）×2%</w:t>
            </w:r>
          </w:p>
        </w:tc>
      </w:tr>
      <w:tr w14:paraId="3F823C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32" w:hRule="atLeast"/>
        </w:trPr>
        <w:tc>
          <w:tcPr>
            <w:tcW w:w="456" w:type="dxa"/>
            <w:vAlign w:val="top"/>
          </w:tcPr>
          <w:p w14:paraId="6C1E9E84">
            <w:pPr>
              <w:spacing w:line="313" w:lineRule="auto"/>
              <w:rPr>
                <w:rFonts w:ascii="Arial"/>
                <w:sz w:val="21"/>
              </w:rPr>
            </w:pPr>
          </w:p>
          <w:p w14:paraId="343C8475">
            <w:pPr>
              <w:spacing w:line="313" w:lineRule="auto"/>
              <w:rPr>
                <w:rFonts w:ascii="Arial"/>
                <w:sz w:val="21"/>
              </w:rPr>
            </w:pPr>
          </w:p>
          <w:p w14:paraId="427DF238">
            <w:pPr>
              <w:spacing w:line="313" w:lineRule="auto"/>
              <w:rPr>
                <w:rFonts w:ascii="Arial"/>
                <w:sz w:val="21"/>
              </w:rPr>
            </w:pPr>
          </w:p>
          <w:p w14:paraId="1E0039CB">
            <w:pPr>
              <w:pStyle w:val="6"/>
              <w:spacing w:before="55"/>
              <w:ind w:left="189"/>
            </w:pPr>
            <w:r>
              <w:t>5</w:t>
            </w:r>
          </w:p>
        </w:tc>
        <w:tc>
          <w:tcPr>
            <w:tcW w:w="1000" w:type="dxa"/>
            <w:vAlign w:val="top"/>
          </w:tcPr>
          <w:p w14:paraId="7B112B61">
            <w:pPr>
              <w:spacing w:line="278" w:lineRule="auto"/>
              <w:rPr>
                <w:rFonts w:ascii="Arial"/>
                <w:sz w:val="21"/>
              </w:rPr>
            </w:pPr>
          </w:p>
          <w:p w14:paraId="66C5C267">
            <w:pPr>
              <w:spacing w:line="278" w:lineRule="auto"/>
              <w:rPr>
                <w:rFonts w:ascii="Arial"/>
                <w:sz w:val="21"/>
              </w:rPr>
            </w:pPr>
          </w:p>
          <w:p w14:paraId="20CBF78D">
            <w:pPr>
              <w:spacing w:line="278" w:lineRule="auto"/>
              <w:rPr>
                <w:rFonts w:ascii="Arial"/>
                <w:sz w:val="21"/>
              </w:rPr>
            </w:pPr>
          </w:p>
          <w:p w14:paraId="4EC2B263">
            <w:pPr>
              <w:pStyle w:val="6"/>
              <w:spacing w:before="55" w:line="229" w:lineRule="auto"/>
              <w:ind w:left="30" w:right="116" w:hanging="1"/>
            </w:pPr>
            <w:r>
              <w:rPr>
                <w:spacing w:val="-2"/>
              </w:rPr>
              <w:t>文化事业建</w:t>
            </w:r>
            <w:r>
              <w:rPr>
                <w:spacing w:val="-3"/>
              </w:rPr>
              <w:t>设费</w:t>
            </w:r>
          </w:p>
        </w:tc>
        <w:tc>
          <w:tcPr>
            <w:tcW w:w="1480" w:type="dxa"/>
            <w:vAlign w:val="top"/>
          </w:tcPr>
          <w:p w14:paraId="780C7AB5">
            <w:pPr>
              <w:spacing w:line="277" w:lineRule="auto"/>
              <w:rPr>
                <w:rFonts w:ascii="Arial"/>
                <w:sz w:val="21"/>
              </w:rPr>
            </w:pPr>
          </w:p>
          <w:p w14:paraId="4AE7AD32">
            <w:pPr>
              <w:spacing w:line="278" w:lineRule="auto"/>
              <w:rPr>
                <w:rFonts w:ascii="Arial"/>
                <w:sz w:val="21"/>
              </w:rPr>
            </w:pPr>
          </w:p>
          <w:p w14:paraId="62C5290A">
            <w:pPr>
              <w:spacing w:line="278" w:lineRule="auto"/>
              <w:rPr>
                <w:rFonts w:ascii="Arial"/>
                <w:sz w:val="21"/>
              </w:rPr>
            </w:pPr>
          </w:p>
          <w:p w14:paraId="64FBDAC0">
            <w:pPr>
              <w:pStyle w:val="6"/>
              <w:spacing w:before="56" w:line="220" w:lineRule="auto"/>
              <w:ind w:left="56"/>
            </w:pPr>
            <w:r>
              <w:rPr>
                <w:spacing w:val="-1"/>
              </w:rPr>
              <w:t>缴入中央和地方国</w:t>
            </w:r>
          </w:p>
          <w:p w14:paraId="0C4EC886">
            <w:pPr>
              <w:pStyle w:val="6"/>
              <w:spacing w:before="6" w:line="220" w:lineRule="auto"/>
              <w:ind w:left="656"/>
            </w:pPr>
            <w:r>
              <w:t>库</w:t>
            </w:r>
          </w:p>
        </w:tc>
        <w:tc>
          <w:tcPr>
            <w:tcW w:w="4364" w:type="dxa"/>
            <w:vAlign w:val="top"/>
          </w:tcPr>
          <w:p w14:paraId="1A6D605C">
            <w:pPr>
              <w:spacing w:line="260" w:lineRule="auto"/>
              <w:rPr>
                <w:rFonts w:ascii="Arial"/>
                <w:sz w:val="21"/>
              </w:rPr>
            </w:pPr>
          </w:p>
          <w:p w14:paraId="1DF53EE9">
            <w:pPr>
              <w:spacing w:line="261" w:lineRule="auto"/>
              <w:rPr>
                <w:rFonts w:ascii="Arial"/>
                <w:sz w:val="21"/>
              </w:rPr>
            </w:pPr>
          </w:p>
          <w:p w14:paraId="6F3B5EA8">
            <w:pPr>
              <w:pStyle w:val="6"/>
              <w:spacing w:before="56" w:line="228" w:lineRule="auto"/>
              <w:ind w:left="31" w:right="81" w:firstLine="16"/>
              <w:jc w:val="both"/>
            </w:pPr>
            <w:r>
              <w:rPr>
                <w:spacing w:val="-1"/>
              </w:rPr>
              <w:t>国发〔1996〕37号，国办发〔2006〕43号，财综〔2007〕</w:t>
            </w:r>
            <w:r>
              <w:rPr>
                <w:spacing w:val="6"/>
              </w:rPr>
              <w:t xml:space="preserve"> </w:t>
            </w:r>
            <w:r>
              <w:t>3号，财综〔2013〕102号，财文字〔1997〕243号，财预</w:t>
            </w:r>
            <w:r>
              <w:rPr>
                <w:spacing w:val="1"/>
              </w:rPr>
              <w:t>字〔1996〕469号，财税〔2016</w:t>
            </w:r>
            <w:r>
              <w:t>〕25号，财税〔2016〕60号，《河北省税收征管保障办法》（省政府令[</w:t>
            </w:r>
            <w:r>
              <w:fldChar w:fldCharType="begin"/>
            </w:r>
            <w:r>
              <w:instrText xml:space="preserve"> HYPERLINK \l "bookmark16" </w:instrText>
            </w:r>
            <w:r>
              <w:fldChar w:fldCharType="separate"/>
            </w:r>
            <w:r>
              <w:t>2024</w:t>
            </w:r>
            <w:r>
              <w:fldChar w:fldCharType="end"/>
            </w:r>
            <w:r>
              <w:t>]第7号修订</w:t>
            </w:r>
            <w:r>
              <w:rPr>
                <w:spacing w:val="7"/>
              </w:rPr>
              <w:t>），</w:t>
            </w:r>
            <w:r>
              <w:t>财税[</w:t>
            </w:r>
            <w:r>
              <w:fldChar w:fldCharType="begin"/>
            </w:r>
            <w:r>
              <w:instrText xml:space="preserve"> HYPERLINK \l "bookmark17" </w:instrText>
            </w:r>
            <w:r>
              <w:fldChar w:fldCharType="separate"/>
            </w:r>
            <w:r>
              <w:t>2025</w:t>
            </w:r>
            <w:r>
              <w:fldChar w:fldCharType="end"/>
            </w:r>
            <w:r>
              <w:t>]7号，冀财非税[</w:t>
            </w:r>
            <w:r>
              <w:fldChar w:fldCharType="begin"/>
            </w:r>
            <w:r>
              <w:instrText xml:space="preserve"> HYPERLINK \l "bookmark17" </w:instrText>
            </w:r>
            <w:r>
              <w:fldChar w:fldCharType="separate"/>
            </w:r>
            <w:r>
              <w:t>2025</w:t>
            </w:r>
            <w:r>
              <w:fldChar w:fldCharType="end"/>
            </w:r>
            <w:r>
              <w:t>]1号</w:t>
            </w:r>
          </w:p>
        </w:tc>
        <w:tc>
          <w:tcPr>
            <w:tcW w:w="3274" w:type="dxa"/>
            <w:vAlign w:val="top"/>
          </w:tcPr>
          <w:p w14:paraId="18870C32">
            <w:pPr>
              <w:spacing w:line="315" w:lineRule="auto"/>
              <w:rPr>
                <w:rFonts w:ascii="Arial"/>
                <w:sz w:val="21"/>
              </w:rPr>
            </w:pPr>
          </w:p>
          <w:p w14:paraId="28E5ADE7">
            <w:pPr>
              <w:pStyle w:val="6"/>
              <w:spacing w:before="55" w:line="227" w:lineRule="auto"/>
              <w:ind w:left="34" w:right="166" w:firstLine="2"/>
              <w:jc w:val="both"/>
            </w:pPr>
            <w:r>
              <w:t xml:space="preserve">各种营业性的歌厅、舞厅、卡拉OK歌舞厅 </w:t>
            </w:r>
            <w:r>
              <w:rPr>
                <w:spacing w:val="-1"/>
              </w:rPr>
              <w:t>、音乐茶座和高尔夫球、台球、保龄球等</w:t>
            </w:r>
            <w:r>
              <w:t>娱乐场所，按营业收入的3%缴纳文化事业</w:t>
            </w:r>
            <w:r>
              <w:rPr>
                <w:spacing w:val="-6"/>
              </w:rPr>
              <w:t>建设费。</w:t>
            </w:r>
          </w:p>
          <w:p w14:paraId="6A54EB4C">
            <w:pPr>
              <w:pStyle w:val="6"/>
              <w:spacing w:line="228" w:lineRule="auto"/>
              <w:ind w:left="34" w:right="168"/>
              <w:jc w:val="both"/>
            </w:pPr>
            <w:r>
              <w:t>广播电台、电视台和报纸、刊物等广告媒介单位以及户外广告经营单位，按经营收</w:t>
            </w:r>
            <w:r>
              <w:rPr>
                <w:spacing w:val="-2"/>
              </w:rPr>
              <w:t>入的3%缴纳文化事业建设费。</w:t>
            </w:r>
          </w:p>
        </w:tc>
      </w:tr>
      <w:tr w14:paraId="588C72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7" w:hRule="atLeast"/>
        </w:trPr>
        <w:tc>
          <w:tcPr>
            <w:tcW w:w="456" w:type="dxa"/>
            <w:vAlign w:val="top"/>
          </w:tcPr>
          <w:p w14:paraId="610CF071">
            <w:pPr>
              <w:spacing w:line="286" w:lineRule="auto"/>
              <w:rPr>
                <w:rFonts w:ascii="Arial"/>
                <w:sz w:val="21"/>
              </w:rPr>
            </w:pPr>
          </w:p>
          <w:p w14:paraId="4FAC37D3">
            <w:pPr>
              <w:pStyle w:val="6"/>
              <w:spacing w:before="55"/>
              <w:ind w:left="187"/>
            </w:pPr>
            <w:r>
              <w:t>6</w:t>
            </w:r>
          </w:p>
        </w:tc>
        <w:tc>
          <w:tcPr>
            <w:tcW w:w="1000" w:type="dxa"/>
            <w:vAlign w:val="top"/>
          </w:tcPr>
          <w:p w14:paraId="738914B7">
            <w:pPr>
              <w:pStyle w:val="6"/>
              <w:spacing w:before="134" w:line="221" w:lineRule="auto"/>
              <w:ind w:left="45"/>
            </w:pPr>
            <w:r>
              <w:rPr>
                <w:spacing w:val="-4"/>
              </w:rPr>
              <w:t>国家电影事</w:t>
            </w:r>
          </w:p>
          <w:p w14:paraId="47FFCD62">
            <w:pPr>
              <w:pStyle w:val="6"/>
              <w:spacing w:before="4" w:line="230" w:lineRule="auto"/>
              <w:ind w:left="35" w:right="116" w:hanging="8"/>
            </w:pPr>
            <w:r>
              <w:rPr>
                <w:spacing w:val="-1"/>
              </w:rPr>
              <w:t>业发展专项</w:t>
            </w:r>
            <w:r>
              <w:rPr>
                <w:spacing w:val="-4"/>
              </w:rPr>
              <w:t>资金</w:t>
            </w:r>
          </w:p>
        </w:tc>
        <w:tc>
          <w:tcPr>
            <w:tcW w:w="1480" w:type="dxa"/>
            <w:vAlign w:val="top"/>
          </w:tcPr>
          <w:p w14:paraId="6D2F77D3">
            <w:pPr>
              <w:pStyle w:val="6"/>
              <w:spacing w:before="240" w:line="220" w:lineRule="auto"/>
              <w:ind w:left="56"/>
            </w:pPr>
            <w:r>
              <w:rPr>
                <w:spacing w:val="-1"/>
              </w:rPr>
              <w:t>缴入中央和地方国</w:t>
            </w:r>
          </w:p>
          <w:p w14:paraId="7BA0A2E3">
            <w:pPr>
              <w:pStyle w:val="6"/>
              <w:spacing w:before="6" w:line="220" w:lineRule="auto"/>
              <w:ind w:left="656"/>
            </w:pPr>
            <w:r>
              <w:t>库</w:t>
            </w:r>
          </w:p>
        </w:tc>
        <w:tc>
          <w:tcPr>
            <w:tcW w:w="4364" w:type="dxa"/>
            <w:vAlign w:val="top"/>
          </w:tcPr>
          <w:p w14:paraId="795F6300">
            <w:pPr>
              <w:pStyle w:val="6"/>
              <w:spacing w:before="133" w:line="228" w:lineRule="auto"/>
              <w:ind w:left="31" w:right="88"/>
            </w:pPr>
            <w:r>
              <w:rPr>
                <w:spacing w:val="-1"/>
              </w:rPr>
              <w:t>《电影管理条例》，国办发〔2006〕43号，财税〔2015〕</w:t>
            </w:r>
            <w:r>
              <w:rPr>
                <w:spacing w:val="13"/>
              </w:rPr>
              <w:t xml:space="preserve"> </w:t>
            </w:r>
            <w:r>
              <w:rPr>
                <w:spacing w:val="1"/>
              </w:rPr>
              <w:t>91号，财税[</w:t>
            </w:r>
            <w:r>
              <w:fldChar w:fldCharType="begin"/>
            </w:r>
            <w:r>
              <w:instrText xml:space="preserve"> HYPERLINK \l "bookmark18" </w:instrText>
            </w:r>
            <w:r>
              <w:fldChar w:fldCharType="separate"/>
            </w:r>
            <w:r>
              <w:rPr>
                <w:spacing w:val="1"/>
              </w:rPr>
              <w:t>2018</w:t>
            </w:r>
            <w:r>
              <w:rPr>
                <w:spacing w:val="1"/>
              </w:rPr>
              <w:fldChar w:fldCharType="end"/>
            </w:r>
            <w:r>
              <w:rPr>
                <w:spacing w:val="1"/>
              </w:rPr>
              <w:t>]67号，财教[</w:t>
            </w:r>
            <w:r>
              <w:fldChar w:fldCharType="begin"/>
            </w:r>
            <w:r>
              <w:instrText xml:space="preserve"> HYPERLINK \l "bookmark19" </w:instrText>
            </w:r>
            <w:r>
              <w:fldChar w:fldCharType="separate"/>
            </w:r>
            <w:r>
              <w:rPr>
                <w:spacing w:val="1"/>
              </w:rPr>
              <w:t>2</w:t>
            </w:r>
            <w:r>
              <w:t>019</w:t>
            </w:r>
            <w:r>
              <w:fldChar w:fldCharType="end"/>
            </w:r>
            <w:r>
              <w:t xml:space="preserve">]260号，冀财非税  </w:t>
            </w:r>
            <w:r>
              <w:rPr>
                <w:spacing w:val="-1"/>
              </w:rPr>
              <w:t>[</w:t>
            </w:r>
            <w:r>
              <w:fldChar w:fldCharType="begin"/>
            </w:r>
            <w:r>
              <w:instrText xml:space="preserve"> HYPERLINK \l "bookmark20" </w:instrText>
            </w:r>
            <w:r>
              <w:fldChar w:fldCharType="separate"/>
            </w:r>
            <w:r>
              <w:rPr>
                <w:spacing w:val="-1"/>
              </w:rPr>
              <w:t>2020</w:t>
            </w:r>
            <w:r>
              <w:rPr>
                <w:spacing w:val="-1"/>
              </w:rPr>
              <w:fldChar w:fldCharType="end"/>
            </w:r>
            <w:r>
              <w:rPr>
                <w:spacing w:val="-1"/>
              </w:rPr>
              <w:t>]1号，财政部</w:t>
            </w:r>
            <w:r>
              <w:rPr>
                <w:spacing w:val="41"/>
              </w:rPr>
              <w:t xml:space="preserve"> </w:t>
            </w:r>
            <w:r>
              <w:rPr>
                <w:spacing w:val="-1"/>
              </w:rPr>
              <w:t>国家电影局公告2023年第9号</w:t>
            </w:r>
          </w:p>
        </w:tc>
        <w:tc>
          <w:tcPr>
            <w:tcW w:w="3274" w:type="dxa"/>
            <w:vAlign w:val="top"/>
          </w:tcPr>
          <w:p w14:paraId="247E74E2">
            <w:pPr>
              <w:pStyle w:val="6"/>
              <w:spacing w:before="134" w:line="220" w:lineRule="auto"/>
              <w:ind w:left="38"/>
            </w:pPr>
            <w:r>
              <w:rPr>
                <w:spacing w:val="-1"/>
              </w:rPr>
              <w:t>办理工商注册登记的经营性电影放映单</w:t>
            </w:r>
          </w:p>
          <w:p w14:paraId="330E6136">
            <w:pPr>
              <w:pStyle w:val="6"/>
              <w:spacing w:before="6" w:line="229" w:lineRule="auto"/>
              <w:ind w:left="34" w:right="168"/>
            </w:pPr>
            <w:r>
              <w:rPr>
                <w:spacing w:val="9"/>
              </w:rPr>
              <w:t>位，应当按其电影票房收入的5%缴纳电</w:t>
            </w:r>
            <w:r>
              <w:rPr>
                <w:spacing w:val="-4"/>
              </w:rPr>
              <w:t>影专项资金。</w:t>
            </w:r>
          </w:p>
        </w:tc>
      </w:tr>
    </w:tbl>
    <w:p w14:paraId="44F1580E">
      <w:pPr>
        <w:rPr>
          <w:rFonts w:ascii="Arial"/>
          <w:sz w:val="21"/>
        </w:rPr>
      </w:pPr>
    </w:p>
    <w:p w14:paraId="3D9C86A3">
      <w:pPr>
        <w:rPr>
          <w:rFonts w:ascii="Arial" w:hAnsi="Arial" w:eastAsia="Arial" w:cs="Arial"/>
          <w:sz w:val="21"/>
          <w:szCs w:val="21"/>
        </w:rPr>
        <w:sectPr>
          <w:headerReference r:id="rId5" w:type="default"/>
          <w:footerReference r:id="rId6" w:type="default"/>
          <w:pgSz w:w="11907" w:h="16839"/>
          <w:pgMar w:top="1452" w:right="470" w:bottom="657" w:left="851" w:header="1190" w:footer="455" w:gutter="0"/>
          <w:cols w:space="720" w:num="1"/>
        </w:sectPr>
      </w:pPr>
    </w:p>
    <w:p w14:paraId="2922F7E7">
      <w:pPr>
        <w:spacing w:before="83" w:line="224" w:lineRule="auto"/>
        <w:ind w:left="3365"/>
        <w:outlineLvl w:val="0"/>
        <w:rPr>
          <w:rFonts w:ascii="宋体" w:hAnsi="宋体" w:eastAsia="宋体" w:cs="宋体"/>
          <w:sz w:val="25"/>
          <w:szCs w:val="25"/>
        </w:rPr>
      </w:pPr>
      <w:r>
        <w:rPr>
          <w:rFonts w:ascii="宋体" w:hAnsi="宋体" w:eastAsia="宋体" w:cs="宋体"/>
          <w:b/>
          <w:bCs/>
          <w:spacing w:val="5"/>
          <w:sz w:val="25"/>
          <w:szCs w:val="25"/>
        </w:rPr>
        <w:t>河北省执行的政府性基金目录清单</w:t>
      </w:r>
    </w:p>
    <w:p w14:paraId="0087AB41">
      <w:pPr>
        <w:spacing w:before="24"/>
      </w:pPr>
    </w:p>
    <w:tbl>
      <w:tblPr>
        <w:tblStyle w:val="5"/>
        <w:tblW w:w="10574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56"/>
        <w:gridCol w:w="1000"/>
        <w:gridCol w:w="1480"/>
        <w:gridCol w:w="4364"/>
        <w:gridCol w:w="3274"/>
      </w:tblGrid>
      <w:tr w14:paraId="3D7D08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6" w:hRule="atLeast"/>
        </w:trPr>
        <w:tc>
          <w:tcPr>
            <w:tcW w:w="456" w:type="dxa"/>
            <w:vAlign w:val="top"/>
          </w:tcPr>
          <w:p w14:paraId="172C8894">
            <w:pPr>
              <w:spacing w:before="284" w:line="221" w:lineRule="auto"/>
              <w:ind w:left="54"/>
              <w:rPr>
                <w:rFonts w:ascii="黑体" w:hAnsi="黑体" w:eastAsia="黑体" w:cs="黑体"/>
                <w:sz w:val="17"/>
                <w:szCs w:val="17"/>
              </w:rPr>
            </w:pPr>
            <w:r>
              <w:rPr>
                <w:rFonts w:ascii="黑体" w:hAnsi="黑体" w:eastAsia="黑体" w:cs="黑体"/>
                <w:b/>
                <w:bCs/>
                <w:spacing w:val="-3"/>
                <w:sz w:val="17"/>
                <w:szCs w:val="17"/>
              </w:rPr>
              <w:t>序号</w:t>
            </w:r>
          </w:p>
        </w:tc>
        <w:tc>
          <w:tcPr>
            <w:tcW w:w="1000" w:type="dxa"/>
            <w:vAlign w:val="top"/>
          </w:tcPr>
          <w:p w14:paraId="2789DB55">
            <w:pPr>
              <w:spacing w:before="285" w:line="219" w:lineRule="auto"/>
              <w:ind w:left="148"/>
              <w:rPr>
                <w:rFonts w:ascii="黑体" w:hAnsi="黑体" w:eastAsia="黑体" w:cs="黑体"/>
                <w:sz w:val="17"/>
                <w:szCs w:val="17"/>
              </w:rPr>
            </w:pPr>
            <w:r>
              <w:rPr>
                <w:rFonts w:ascii="黑体" w:hAnsi="黑体" w:eastAsia="黑体" w:cs="黑体"/>
                <w:b/>
                <w:bCs/>
                <w:sz w:val="17"/>
                <w:szCs w:val="17"/>
              </w:rPr>
              <w:t>项目名称</w:t>
            </w:r>
          </w:p>
        </w:tc>
        <w:tc>
          <w:tcPr>
            <w:tcW w:w="1480" w:type="dxa"/>
            <w:vAlign w:val="top"/>
          </w:tcPr>
          <w:p w14:paraId="23A34A37">
            <w:pPr>
              <w:spacing w:before="284" w:line="219" w:lineRule="auto"/>
              <w:ind w:left="219"/>
              <w:rPr>
                <w:rFonts w:ascii="黑体" w:hAnsi="黑体" w:eastAsia="黑体" w:cs="黑体"/>
                <w:sz w:val="17"/>
                <w:szCs w:val="17"/>
              </w:rPr>
            </w:pPr>
            <w:r>
              <w:rPr>
                <w:rFonts w:ascii="黑体" w:hAnsi="黑体" w:eastAsia="黑体" w:cs="黑体"/>
                <w:b/>
                <w:bCs/>
                <w:sz w:val="17"/>
                <w:szCs w:val="17"/>
              </w:rPr>
              <w:t>资金管理方式</w:t>
            </w:r>
          </w:p>
        </w:tc>
        <w:tc>
          <w:tcPr>
            <w:tcW w:w="4364" w:type="dxa"/>
            <w:vAlign w:val="top"/>
          </w:tcPr>
          <w:p w14:paraId="660273A6">
            <w:pPr>
              <w:spacing w:before="285" w:line="219" w:lineRule="auto"/>
              <w:ind w:left="1212"/>
              <w:rPr>
                <w:rFonts w:ascii="黑体" w:hAnsi="黑体" w:eastAsia="黑体" w:cs="黑体"/>
                <w:sz w:val="17"/>
                <w:szCs w:val="17"/>
              </w:rPr>
            </w:pPr>
            <w:r>
              <w:rPr>
                <w:rFonts w:ascii="黑体" w:hAnsi="黑体" w:eastAsia="黑体" w:cs="黑体"/>
                <w:b/>
                <w:bCs/>
                <w:spacing w:val="-6"/>
                <w:sz w:val="17"/>
                <w:szCs w:val="17"/>
              </w:rPr>
              <w:t>政</w:t>
            </w:r>
            <w:r>
              <w:rPr>
                <w:rFonts w:ascii="黑体" w:hAnsi="黑体" w:eastAsia="黑体" w:cs="黑体"/>
                <w:spacing w:val="5"/>
                <w:sz w:val="17"/>
                <w:szCs w:val="17"/>
              </w:rPr>
              <w:t xml:space="preserve">     </w:t>
            </w:r>
            <w:r>
              <w:rPr>
                <w:rFonts w:ascii="黑体" w:hAnsi="黑体" w:eastAsia="黑体" w:cs="黑体"/>
                <w:b/>
                <w:bCs/>
                <w:spacing w:val="-6"/>
                <w:sz w:val="17"/>
                <w:szCs w:val="17"/>
              </w:rPr>
              <w:t>策</w:t>
            </w:r>
            <w:r>
              <w:rPr>
                <w:rFonts w:ascii="黑体" w:hAnsi="黑体" w:eastAsia="黑体" w:cs="黑体"/>
                <w:spacing w:val="6"/>
                <w:sz w:val="17"/>
                <w:szCs w:val="17"/>
              </w:rPr>
              <w:t xml:space="preserve">     </w:t>
            </w:r>
            <w:r>
              <w:rPr>
                <w:rFonts w:ascii="黑体" w:hAnsi="黑体" w:eastAsia="黑体" w:cs="黑体"/>
                <w:b/>
                <w:bCs/>
                <w:spacing w:val="-6"/>
                <w:sz w:val="17"/>
                <w:szCs w:val="17"/>
              </w:rPr>
              <w:t>依</w:t>
            </w:r>
            <w:r>
              <w:rPr>
                <w:rFonts w:ascii="黑体" w:hAnsi="黑体" w:eastAsia="黑体" w:cs="黑体"/>
                <w:spacing w:val="7"/>
                <w:sz w:val="17"/>
                <w:szCs w:val="17"/>
              </w:rPr>
              <w:t xml:space="preserve">    </w:t>
            </w:r>
            <w:r>
              <w:rPr>
                <w:rFonts w:ascii="黑体" w:hAnsi="黑体" w:eastAsia="黑体" w:cs="黑体"/>
                <w:b/>
                <w:bCs/>
                <w:spacing w:val="-6"/>
                <w:sz w:val="17"/>
                <w:szCs w:val="17"/>
              </w:rPr>
              <w:t>据</w:t>
            </w:r>
          </w:p>
        </w:tc>
        <w:tc>
          <w:tcPr>
            <w:tcW w:w="3274" w:type="dxa"/>
            <w:vAlign w:val="top"/>
          </w:tcPr>
          <w:p w14:paraId="1D7DF8F4">
            <w:pPr>
              <w:spacing w:before="284" w:line="221" w:lineRule="auto"/>
              <w:ind w:left="1289"/>
              <w:rPr>
                <w:rFonts w:ascii="黑体" w:hAnsi="黑体" w:eastAsia="黑体" w:cs="黑体"/>
                <w:sz w:val="17"/>
                <w:szCs w:val="17"/>
              </w:rPr>
            </w:pPr>
            <w:r>
              <w:rPr>
                <w:rFonts w:ascii="黑体" w:hAnsi="黑体" w:eastAsia="黑体" w:cs="黑体"/>
                <w:b/>
                <w:bCs/>
                <w:sz w:val="17"/>
                <w:szCs w:val="17"/>
              </w:rPr>
              <w:t>收费标准</w:t>
            </w:r>
          </w:p>
        </w:tc>
      </w:tr>
      <w:tr w14:paraId="69674C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1" w:hRule="atLeast"/>
        </w:trPr>
        <w:tc>
          <w:tcPr>
            <w:tcW w:w="456" w:type="dxa"/>
            <w:vAlign w:val="top"/>
          </w:tcPr>
          <w:p w14:paraId="247C698A">
            <w:pPr>
              <w:spacing w:line="276" w:lineRule="auto"/>
              <w:rPr>
                <w:rFonts w:ascii="Arial"/>
                <w:sz w:val="21"/>
              </w:rPr>
            </w:pPr>
          </w:p>
          <w:p w14:paraId="7D3A2CEE">
            <w:pPr>
              <w:spacing w:line="276" w:lineRule="auto"/>
              <w:rPr>
                <w:rFonts w:ascii="Arial"/>
                <w:sz w:val="21"/>
              </w:rPr>
            </w:pPr>
          </w:p>
          <w:p w14:paraId="5ACDD6E5">
            <w:pPr>
              <w:spacing w:line="276" w:lineRule="auto"/>
              <w:rPr>
                <w:rFonts w:ascii="Arial"/>
                <w:sz w:val="21"/>
              </w:rPr>
            </w:pPr>
          </w:p>
          <w:p w14:paraId="6E7D4A8C">
            <w:pPr>
              <w:spacing w:line="277" w:lineRule="auto"/>
              <w:rPr>
                <w:rFonts w:ascii="Arial"/>
                <w:sz w:val="21"/>
              </w:rPr>
            </w:pPr>
          </w:p>
          <w:p w14:paraId="05B72EE0">
            <w:pPr>
              <w:pStyle w:val="6"/>
              <w:spacing w:before="55"/>
              <w:ind w:left="190"/>
            </w:pPr>
            <w:r>
              <w:t>7</w:t>
            </w:r>
          </w:p>
        </w:tc>
        <w:tc>
          <w:tcPr>
            <w:tcW w:w="1000" w:type="dxa"/>
            <w:vAlign w:val="top"/>
          </w:tcPr>
          <w:p w14:paraId="517181D6">
            <w:pPr>
              <w:spacing w:line="249" w:lineRule="auto"/>
              <w:rPr>
                <w:rFonts w:ascii="Arial"/>
                <w:sz w:val="21"/>
              </w:rPr>
            </w:pPr>
          </w:p>
          <w:p w14:paraId="4DD0C3AC">
            <w:pPr>
              <w:spacing w:line="250" w:lineRule="auto"/>
              <w:rPr>
                <w:rFonts w:ascii="Arial"/>
                <w:sz w:val="21"/>
              </w:rPr>
            </w:pPr>
          </w:p>
          <w:p w14:paraId="1B8E3A8B">
            <w:pPr>
              <w:spacing w:line="250" w:lineRule="auto"/>
              <w:rPr>
                <w:rFonts w:ascii="Arial"/>
                <w:sz w:val="21"/>
              </w:rPr>
            </w:pPr>
          </w:p>
          <w:p w14:paraId="039780C2">
            <w:pPr>
              <w:spacing w:line="250" w:lineRule="auto"/>
              <w:rPr>
                <w:rFonts w:ascii="Arial"/>
                <w:sz w:val="21"/>
              </w:rPr>
            </w:pPr>
          </w:p>
          <w:p w14:paraId="1C45481F">
            <w:pPr>
              <w:pStyle w:val="6"/>
              <w:spacing w:before="56" w:line="229" w:lineRule="auto"/>
              <w:ind w:left="44" w:right="116" w:hanging="16"/>
            </w:pPr>
            <w:r>
              <w:rPr>
                <w:spacing w:val="-1"/>
              </w:rPr>
              <w:t>地方水库移</w:t>
            </w:r>
            <w:r>
              <w:rPr>
                <w:spacing w:val="-5"/>
              </w:rPr>
              <w:t>民扶持基金</w:t>
            </w:r>
          </w:p>
        </w:tc>
        <w:tc>
          <w:tcPr>
            <w:tcW w:w="1480" w:type="dxa"/>
            <w:vAlign w:val="top"/>
          </w:tcPr>
          <w:p w14:paraId="7F2F4B6C">
            <w:pPr>
              <w:spacing w:line="250" w:lineRule="auto"/>
              <w:rPr>
                <w:rFonts w:ascii="Arial"/>
                <w:sz w:val="21"/>
              </w:rPr>
            </w:pPr>
          </w:p>
          <w:p w14:paraId="161A7D97">
            <w:pPr>
              <w:spacing w:line="250" w:lineRule="auto"/>
              <w:rPr>
                <w:rFonts w:ascii="Arial"/>
                <w:sz w:val="21"/>
              </w:rPr>
            </w:pPr>
          </w:p>
          <w:p w14:paraId="6311402F">
            <w:pPr>
              <w:spacing w:line="250" w:lineRule="auto"/>
              <w:rPr>
                <w:rFonts w:ascii="Arial"/>
                <w:sz w:val="21"/>
              </w:rPr>
            </w:pPr>
          </w:p>
          <w:p w14:paraId="055F65BD">
            <w:pPr>
              <w:spacing w:line="250" w:lineRule="auto"/>
              <w:rPr>
                <w:rFonts w:ascii="Arial"/>
                <w:sz w:val="21"/>
              </w:rPr>
            </w:pPr>
          </w:p>
          <w:p w14:paraId="582E4BF0">
            <w:pPr>
              <w:pStyle w:val="6"/>
              <w:spacing w:before="55" w:line="220" w:lineRule="auto"/>
              <w:ind w:left="56"/>
            </w:pPr>
            <w:r>
              <w:rPr>
                <w:spacing w:val="-1"/>
              </w:rPr>
              <w:t>缴入中央和地方国</w:t>
            </w:r>
          </w:p>
          <w:p w14:paraId="35D930AC">
            <w:pPr>
              <w:pStyle w:val="6"/>
              <w:spacing w:before="6" w:line="220" w:lineRule="auto"/>
              <w:ind w:left="656"/>
            </w:pPr>
            <w:r>
              <w:t>库</w:t>
            </w:r>
          </w:p>
        </w:tc>
        <w:tc>
          <w:tcPr>
            <w:tcW w:w="4364" w:type="dxa"/>
            <w:vAlign w:val="top"/>
          </w:tcPr>
          <w:p w14:paraId="1C086893">
            <w:pPr>
              <w:pStyle w:val="6"/>
              <w:spacing w:before="225" w:line="227" w:lineRule="auto"/>
              <w:ind w:left="31" w:right="52"/>
            </w:pPr>
            <w:r>
              <w:t>《大中型水利水电工程建设征地补偿和移民安置条例》，</w:t>
            </w:r>
            <w:r>
              <w:rPr>
                <w:spacing w:val="1"/>
              </w:rPr>
              <w:t>国发〔2006〕17号，财综〔2007</w:t>
            </w:r>
            <w:r>
              <w:t>〕26号，财综〔2008〕17号，财综〔2008〕29号、30号、31号、32号、33号、34号</w:t>
            </w:r>
            <w:r>
              <w:rPr>
                <w:spacing w:val="18"/>
              </w:rPr>
              <w:t xml:space="preserve"> </w:t>
            </w:r>
            <w:r>
              <w:t>、35号、64号、65号、66号、67号、68号、8</w:t>
            </w:r>
            <w:r>
              <w:rPr>
                <w:spacing w:val="-1"/>
              </w:rPr>
              <w:t>5号、86号、</w:t>
            </w:r>
            <w:r>
              <w:t xml:space="preserve"> 87号、88号、89号、90号，财综〔2009〕51号、59号，财综〔2010〕15号、16号、43号、113号，财综函〔2010〕</w:t>
            </w:r>
          </w:p>
          <w:p w14:paraId="218F8013">
            <w:pPr>
              <w:pStyle w:val="6"/>
              <w:spacing w:before="2" w:line="227" w:lineRule="auto"/>
              <w:ind w:left="29" w:right="53" w:firstLine="13"/>
            </w:pPr>
            <w:r>
              <w:t>10号、39号，财税〔2016〕11号，财税〔2016〕13号，财</w:t>
            </w:r>
            <w:r>
              <w:rPr>
                <w:spacing w:val="-1"/>
              </w:rPr>
              <w:t>税〔2017〕18号，财政部</w:t>
            </w:r>
            <w:r>
              <w:rPr>
                <w:spacing w:val="43"/>
              </w:rPr>
              <w:t xml:space="preserve"> </w:t>
            </w:r>
            <w:r>
              <w:rPr>
                <w:spacing w:val="-1"/>
              </w:rPr>
              <w:t>国家发改委公告2022年第5号，财政部</w:t>
            </w:r>
            <w:r>
              <w:rPr>
                <w:spacing w:val="31"/>
                <w:w w:val="101"/>
              </w:rPr>
              <w:t xml:space="preserve"> </w:t>
            </w:r>
            <w:r>
              <w:rPr>
                <w:spacing w:val="-1"/>
              </w:rPr>
              <w:t>国家发展改革委公告2023年第45号 ，《河北省税</w:t>
            </w:r>
            <w:r>
              <w:t>收征管保障办法》（省政府令[</w:t>
            </w:r>
            <w:r>
              <w:fldChar w:fldCharType="begin"/>
            </w:r>
            <w:r>
              <w:instrText xml:space="preserve"> HYPERLINK \l "bookmark21" </w:instrText>
            </w:r>
            <w:r>
              <w:fldChar w:fldCharType="separate"/>
            </w:r>
            <w:r>
              <w:t>2024</w:t>
            </w:r>
            <w:r>
              <w:fldChar w:fldCharType="end"/>
            </w:r>
            <w:r>
              <w:t>]第7号修订）</w:t>
            </w:r>
          </w:p>
        </w:tc>
        <w:tc>
          <w:tcPr>
            <w:tcW w:w="3274" w:type="dxa"/>
            <w:vAlign w:val="top"/>
          </w:tcPr>
          <w:p w14:paraId="0833D3D6">
            <w:pPr>
              <w:spacing w:line="263" w:lineRule="auto"/>
              <w:rPr>
                <w:rFonts w:ascii="Arial"/>
                <w:sz w:val="21"/>
              </w:rPr>
            </w:pPr>
          </w:p>
          <w:p w14:paraId="75656056">
            <w:pPr>
              <w:spacing w:line="264" w:lineRule="auto"/>
              <w:rPr>
                <w:rFonts w:ascii="Arial"/>
                <w:sz w:val="21"/>
              </w:rPr>
            </w:pPr>
          </w:p>
          <w:p w14:paraId="2C605AC0">
            <w:pPr>
              <w:spacing w:line="264" w:lineRule="auto"/>
              <w:rPr>
                <w:rFonts w:ascii="Arial"/>
                <w:sz w:val="21"/>
              </w:rPr>
            </w:pPr>
          </w:p>
          <w:p w14:paraId="675414EA">
            <w:pPr>
              <w:pStyle w:val="6"/>
              <w:spacing w:before="56" w:line="228" w:lineRule="auto"/>
              <w:ind w:left="34" w:right="162" w:hanging="1"/>
              <w:jc w:val="both"/>
            </w:pPr>
            <w:r>
              <w:t>扶助基金通过提高销售电价筹集，我省按照扣除农业生产用电后的全部销售电量，加价0.05分/千瓦时(含在建后期扶持项目</w:t>
            </w:r>
            <w:r>
              <w:rPr>
                <w:spacing w:val="-2"/>
              </w:rPr>
              <w:t>的后续资金投入)标准征收。</w:t>
            </w:r>
          </w:p>
        </w:tc>
      </w:tr>
      <w:tr w14:paraId="7C1CA3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13" w:hRule="atLeast"/>
        </w:trPr>
        <w:tc>
          <w:tcPr>
            <w:tcW w:w="456" w:type="dxa"/>
            <w:vAlign w:val="top"/>
          </w:tcPr>
          <w:p w14:paraId="54D32969">
            <w:pPr>
              <w:spacing w:line="274" w:lineRule="auto"/>
              <w:rPr>
                <w:rFonts w:ascii="Arial"/>
                <w:sz w:val="21"/>
              </w:rPr>
            </w:pPr>
          </w:p>
          <w:p w14:paraId="0148629E">
            <w:pPr>
              <w:spacing w:line="275" w:lineRule="auto"/>
              <w:rPr>
                <w:rFonts w:ascii="Arial"/>
                <w:sz w:val="21"/>
              </w:rPr>
            </w:pPr>
          </w:p>
          <w:p w14:paraId="2C891728">
            <w:pPr>
              <w:spacing w:line="275" w:lineRule="auto"/>
              <w:rPr>
                <w:rFonts w:ascii="Arial"/>
                <w:sz w:val="21"/>
              </w:rPr>
            </w:pPr>
          </w:p>
          <w:p w14:paraId="6FC047B2">
            <w:pPr>
              <w:pStyle w:val="6"/>
              <w:spacing w:before="55"/>
              <w:ind w:left="186"/>
            </w:pPr>
            <w:r>
              <w:t>8</w:t>
            </w:r>
          </w:p>
        </w:tc>
        <w:tc>
          <w:tcPr>
            <w:tcW w:w="1000" w:type="dxa"/>
            <w:vAlign w:val="top"/>
          </w:tcPr>
          <w:p w14:paraId="14048565">
            <w:pPr>
              <w:rPr>
                <w:rFonts w:ascii="Arial"/>
                <w:sz w:val="21"/>
              </w:rPr>
            </w:pPr>
          </w:p>
          <w:p w14:paraId="3DF21D3C">
            <w:pPr>
              <w:rPr>
                <w:rFonts w:ascii="Arial"/>
                <w:sz w:val="21"/>
              </w:rPr>
            </w:pPr>
          </w:p>
          <w:p w14:paraId="5797639D">
            <w:pPr>
              <w:spacing w:line="241" w:lineRule="auto"/>
              <w:rPr>
                <w:rFonts w:ascii="Arial"/>
                <w:sz w:val="21"/>
              </w:rPr>
            </w:pPr>
          </w:p>
          <w:p w14:paraId="3525E9C2">
            <w:pPr>
              <w:pStyle w:val="6"/>
              <w:spacing w:before="55" w:line="229" w:lineRule="auto"/>
              <w:ind w:left="28" w:right="116"/>
            </w:pPr>
            <w:r>
              <w:rPr>
                <w:spacing w:val="-1"/>
              </w:rPr>
              <w:t>残疾人就业</w:t>
            </w:r>
            <w:r>
              <w:rPr>
                <w:spacing w:val="-2"/>
              </w:rPr>
              <w:t>保障金</w:t>
            </w:r>
          </w:p>
        </w:tc>
        <w:tc>
          <w:tcPr>
            <w:tcW w:w="1480" w:type="dxa"/>
            <w:vAlign w:val="top"/>
          </w:tcPr>
          <w:p w14:paraId="0E1D68F1">
            <w:pPr>
              <w:spacing w:line="274" w:lineRule="auto"/>
              <w:rPr>
                <w:rFonts w:ascii="Arial"/>
                <w:sz w:val="21"/>
              </w:rPr>
            </w:pPr>
          </w:p>
          <w:p w14:paraId="38316589">
            <w:pPr>
              <w:spacing w:line="275" w:lineRule="auto"/>
              <w:rPr>
                <w:rFonts w:ascii="Arial"/>
                <w:sz w:val="21"/>
              </w:rPr>
            </w:pPr>
          </w:p>
          <w:p w14:paraId="3F7944DC">
            <w:pPr>
              <w:spacing w:line="275" w:lineRule="auto"/>
              <w:rPr>
                <w:rFonts w:ascii="Arial"/>
                <w:sz w:val="21"/>
              </w:rPr>
            </w:pPr>
          </w:p>
          <w:p w14:paraId="76F7F1FC">
            <w:pPr>
              <w:pStyle w:val="6"/>
              <w:spacing w:before="55" w:line="220" w:lineRule="auto"/>
              <w:ind w:left="226"/>
            </w:pPr>
            <w:r>
              <w:rPr>
                <w:spacing w:val="-1"/>
              </w:rPr>
              <w:t>缴入地方国库</w:t>
            </w:r>
          </w:p>
        </w:tc>
        <w:tc>
          <w:tcPr>
            <w:tcW w:w="4364" w:type="dxa"/>
            <w:vAlign w:val="top"/>
          </w:tcPr>
          <w:p w14:paraId="06054CDB">
            <w:pPr>
              <w:pStyle w:val="6"/>
              <w:spacing w:before="257" w:line="227" w:lineRule="auto"/>
              <w:ind w:left="34" w:right="55" w:hanging="3"/>
            </w:pPr>
            <w:r>
              <w:t>《残疾人就业条例》，财税〔2015〕72号，财综〔2001〕</w:t>
            </w:r>
            <w:r>
              <w:rPr>
                <w:spacing w:val="10"/>
              </w:rPr>
              <w:t xml:space="preserve"> </w:t>
            </w:r>
            <w:r>
              <w:t>16号，财税〔2017〕18号，财税〔2018〕39号，财政部公告2023年第8号，发改价格规[</w:t>
            </w:r>
            <w:r>
              <w:fldChar w:fldCharType="begin"/>
            </w:r>
            <w:r>
              <w:instrText xml:space="preserve"> HYPERLINK \l "bookmark22" </w:instrText>
            </w:r>
            <w:r>
              <w:fldChar w:fldCharType="separate"/>
            </w:r>
            <w:r>
              <w:t>2019</w:t>
            </w:r>
            <w:r>
              <w:fldChar w:fldCharType="end"/>
            </w:r>
            <w:r>
              <w:t>]2015号，冀财税</w:t>
            </w:r>
          </w:p>
          <w:p w14:paraId="675E5B00">
            <w:pPr>
              <w:pStyle w:val="6"/>
              <w:spacing w:before="2" w:line="227" w:lineRule="auto"/>
              <w:ind w:left="29" w:right="41" w:firstLine="27"/>
            </w:pPr>
            <w:r>
              <w:t>[</w:t>
            </w:r>
            <w:r>
              <w:fldChar w:fldCharType="begin"/>
            </w:r>
            <w:r>
              <w:instrText xml:space="preserve"> HYPERLINK \l "bookmark23" </w:instrText>
            </w:r>
            <w:r>
              <w:fldChar w:fldCharType="separate"/>
            </w:r>
            <w:r>
              <w:t>2016</w:t>
            </w:r>
            <w:r>
              <w:fldChar w:fldCharType="end"/>
            </w:r>
            <w:r>
              <w:t>]40号，冀财税[</w:t>
            </w:r>
            <w:r>
              <w:fldChar w:fldCharType="begin"/>
            </w:r>
            <w:r>
              <w:instrText xml:space="preserve"> HYPERLINK \l "bookmark24" </w:instrText>
            </w:r>
            <w:r>
              <w:fldChar w:fldCharType="separate"/>
            </w:r>
            <w:r>
              <w:t>2017</w:t>
            </w:r>
            <w:r>
              <w:fldChar w:fldCharType="end"/>
            </w:r>
            <w:r>
              <w:t>]12号，冀财税[</w:t>
            </w:r>
            <w:r>
              <w:fldChar w:fldCharType="begin"/>
            </w:r>
            <w:r>
              <w:instrText xml:space="preserve"> HYPERLINK \l "bookmark25" </w:instrText>
            </w:r>
            <w:r>
              <w:fldChar w:fldCharType="separate"/>
            </w:r>
            <w:r>
              <w:t>2018</w:t>
            </w:r>
            <w:r>
              <w:fldChar w:fldCharType="end"/>
            </w:r>
            <w:r>
              <w:t>]34号，冀财非税[</w:t>
            </w:r>
            <w:r>
              <w:fldChar w:fldCharType="begin"/>
            </w:r>
            <w:r>
              <w:instrText xml:space="preserve"> HYPERLINK \l "bookmark26" </w:instrText>
            </w:r>
            <w:r>
              <w:fldChar w:fldCharType="separate"/>
            </w:r>
            <w:r>
              <w:t>2020</w:t>
            </w:r>
            <w:r>
              <w:fldChar w:fldCharType="end"/>
            </w:r>
            <w:r>
              <w:t>]15号，《河北省实施&lt;中华人民共和国残疾人保障法&gt;办法》，冀发改公价〔2024〕680号，《河北省税收征管保障办法》（省政府令[</w:t>
            </w:r>
            <w:r>
              <w:fldChar w:fldCharType="begin"/>
            </w:r>
            <w:r>
              <w:instrText xml:space="preserve"> HYPERLINK \l "bookmark27" </w:instrText>
            </w:r>
            <w:r>
              <w:fldChar w:fldCharType="separate"/>
            </w:r>
            <w:r>
              <w:t>2024</w:t>
            </w:r>
            <w:r>
              <w:fldChar w:fldCharType="end"/>
            </w:r>
            <w:r>
              <w:t>]第7号修订）</w:t>
            </w:r>
          </w:p>
        </w:tc>
        <w:tc>
          <w:tcPr>
            <w:tcW w:w="3274" w:type="dxa"/>
            <w:vAlign w:val="top"/>
          </w:tcPr>
          <w:p w14:paraId="70B172AB">
            <w:pPr>
              <w:spacing w:line="308" w:lineRule="auto"/>
              <w:rPr>
                <w:rFonts w:ascii="Arial"/>
                <w:sz w:val="21"/>
              </w:rPr>
            </w:pPr>
          </w:p>
          <w:p w14:paraId="6D55A264">
            <w:pPr>
              <w:spacing w:line="309" w:lineRule="auto"/>
              <w:rPr>
                <w:rFonts w:ascii="Arial"/>
                <w:sz w:val="21"/>
              </w:rPr>
            </w:pPr>
          </w:p>
          <w:p w14:paraId="5E447D90">
            <w:pPr>
              <w:pStyle w:val="6"/>
              <w:spacing w:before="55" w:line="228" w:lineRule="auto"/>
              <w:ind w:left="34" w:right="164" w:firstLine="1"/>
              <w:jc w:val="both"/>
            </w:pPr>
            <w:r>
              <w:rPr>
                <w:spacing w:val="-1"/>
              </w:rPr>
              <w:t>保障金按上年用人单位安排残疾人就业未</w:t>
            </w:r>
            <w:r>
              <w:t>达到1.5%比例的差额人数与上年本单位在</w:t>
            </w:r>
            <w:r>
              <w:rPr>
                <w:spacing w:val="-2"/>
              </w:rPr>
              <w:t>职职工年平均工资之积计算缴纳。</w:t>
            </w:r>
          </w:p>
        </w:tc>
      </w:tr>
      <w:tr w14:paraId="1553E3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3" w:hRule="atLeast"/>
        </w:trPr>
        <w:tc>
          <w:tcPr>
            <w:tcW w:w="456" w:type="dxa"/>
            <w:vAlign w:val="top"/>
          </w:tcPr>
          <w:p w14:paraId="55D1A3C4">
            <w:pPr>
              <w:spacing w:line="277" w:lineRule="auto"/>
              <w:rPr>
                <w:rFonts w:ascii="Arial"/>
                <w:sz w:val="21"/>
              </w:rPr>
            </w:pPr>
          </w:p>
          <w:p w14:paraId="3F57F093">
            <w:pPr>
              <w:spacing w:line="277" w:lineRule="auto"/>
              <w:rPr>
                <w:rFonts w:ascii="Arial"/>
                <w:sz w:val="21"/>
              </w:rPr>
            </w:pPr>
          </w:p>
          <w:p w14:paraId="1BDB8D3A">
            <w:pPr>
              <w:spacing w:line="277" w:lineRule="auto"/>
              <w:rPr>
                <w:rFonts w:ascii="Arial"/>
                <w:sz w:val="21"/>
              </w:rPr>
            </w:pPr>
          </w:p>
          <w:p w14:paraId="3C733157">
            <w:pPr>
              <w:spacing w:line="277" w:lineRule="auto"/>
              <w:rPr>
                <w:rFonts w:ascii="Arial"/>
                <w:sz w:val="21"/>
              </w:rPr>
            </w:pPr>
          </w:p>
          <w:p w14:paraId="541D0A8B">
            <w:pPr>
              <w:spacing w:line="278" w:lineRule="auto"/>
              <w:rPr>
                <w:rFonts w:ascii="Arial"/>
                <w:sz w:val="21"/>
              </w:rPr>
            </w:pPr>
          </w:p>
          <w:p w14:paraId="73237791">
            <w:pPr>
              <w:spacing w:line="278" w:lineRule="auto"/>
              <w:rPr>
                <w:rFonts w:ascii="Arial"/>
                <w:sz w:val="21"/>
              </w:rPr>
            </w:pPr>
          </w:p>
          <w:p w14:paraId="379F1AD9">
            <w:pPr>
              <w:pStyle w:val="6"/>
              <w:spacing w:before="55"/>
              <w:ind w:left="186"/>
            </w:pPr>
            <w:r>
              <w:t>9</w:t>
            </w:r>
          </w:p>
        </w:tc>
        <w:tc>
          <w:tcPr>
            <w:tcW w:w="1000" w:type="dxa"/>
            <w:vAlign w:val="top"/>
          </w:tcPr>
          <w:p w14:paraId="625EB808">
            <w:pPr>
              <w:spacing w:line="260" w:lineRule="auto"/>
              <w:rPr>
                <w:rFonts w:ascii="Arial"/>
                <w:sz w:val="21"/>
              </w:rPr>
            </w:pPr>
          </w:p>
          <w:p w14:paraId="097BCD73">
            <w:pPr>
              <w:spacing w:line="260" w:lineRule="auto"/>
              <w:rPr>
                <w:rFonts w:ascii="Arial"/>
                <w:sz w:val="21"/>
              </w:rPr>
            </w:pPr>
          </w:p>
          <w:p w14:paraId="621DC816">
            <w:pPr>
              <w:spacing w:line="260" w:lineRule="auto"/>
              <w:rPr>
                <w:rFonts w:ascii="Arial"/>
                <w:sz w:val="21"/>
              </w:rPr>
            </w:pPr>
          </w:p>
          <w:p w14:paraId="6692969E">
            <w:pPr>
              <w:spacing w:line="260" w:lineRule="auto"/>
              <w:rPr>
                <w:rFonts w:ascii="Arial"/>
                <w:sz w:val="21"/>
              </w:rPr>
            </w:pPr>
          </w:p>
          <w:p w14:paraId="6B1918AB">
            <w:pPr>
              <w:spacing w:line="260" w:lineRule="auto"/>
              <w:rPr>
                <w:rFonts w:ascii="Arial"/>
                <w:sz w:val="21"/>
              </w:rPr>
            </w:pPr>
          </w:p>
          <w:p w14:paraId="37A127F4">
            <w:pPr>
              <w:spacing w:line="261" w:lineRule="auto"/>
              <w:rPr>
                <w:rFonts w:ascii="Arial"/>
                <w:sz w:val="21"/>
              </w:rPr>
            </w:pPr>
          </w:p>
          <w:p w14:paraId="1960D12F">
            <w:pPr>
              <w:pStyle w:val="6"/>
              <w:spacing w:before="55" w:line="229" w:lineRule="auto"/>
              <w:ind w:left="32" w:right="116" w:hanging="4"/>
            </w:pPr>
            <w:r>
              <w:rPr>
                <w:spacing w:val="-1"/>
              </w:rPr>
              <w:t>森林植被恢</w:t>
            </w:r>
            <w:r>
              <w:rPr>
                <w:spacing w:val="-3"/>
              </w:rPr>
              <w:t>复费</w:t>
            </w:r>
          </w:p>
        </w:tc>
        <w:tc>
          <w:tcPr>
            <w:tcW w:w="1480" w:type="dxa"/>
            <w:vAlign w:val="top"/>
          </w:tcPr>
          <w:p w14:paraId="1F91CD2B">
            <w:pPr>
              <w:spacing w:line="260" w:lineRule="auto"/>
              <w:rPr>
                <w:rFonts w:ascii="Arial"/>
                <w:sz w:val="21"/>
              </w:rPr>
            </w:pPr>
          </w:p>
          <w:p w14:paraId="318680DC">
            <w:pPr>
              <w:spacing w:line="260" w:lineRule="auto"/>
              <w:rPr>
                <w:rFonts w:ascii="Arial"/>
                <w:sz w:val="21"/>
              </w:rPr>
            </w:pPr>
          </w:p>
          <w:p w14:paraId="016C1FCA">
            <w:pPr>
              <w:spacing w:line="260" w:lineRule="auto"/>
              <w:rPr>
                <w:rFonts w:ascii="Arial"/>
                <w:sz w:val="21"/>
              </w:rPr>
            </w:pPr>
          </w:p>
          <w:p w14:paraId="19C39C79">
            <w:pPr>
              <w:spacing w:line="260" w:lineRule="auto"/>
              <w:rPr>
                <w:rFonts w:ascii="Arial"/>
                <w:sz w:val="21"/>
              </w:rPr>
            </w:pPr>
          </w:p>
          <w:p w14:paraId="137300DA">
            <w:pPr>
              <w:spacing w:line="260" w:lineRule="auto"/>
              <w:rPr>
                <w:rFonts w:ascii="Arial"/>
                <w:sz w:val="21"/>
              </w:rPr>
            </w:pPr>
          </w:p>
          <w:p w14:paraId="54315007">
            <w:pPr>
              <w:spacing w:line="261" w:lineRule="auto"/>
              <w:rPr>
                <w:rFonts w:ascii="Arial"/>
                <w:sz w:val="21"/>
              </w:rPr>
            </w:pPr>
          </w:p>
          <w:p w14:paraId="299EA1BC">
            <w:pPr>
              <w:pStyle w:val="6"/>
              <w:spacing w:before="55" w:line="220" w:lineRule="auto"/>
              <w:ind w:left="56"/>
            </w:pPr>
            <w:r>
              <w:rPr>
                <w:spacing w:val="-1"/>
              </w:rPr>
              <w:t>缴入中央和地方国</w:t>
            </w:r>
          </w:p>
          <w:p w14:paraId="53FAA532">
            <w:pPr>
              <w:pStyle w:val="6"/>
              <w:spacing w:before="6" w:line="220" w:lineRule="auto"/>
              <w:ind w:left="656"/>
            </w:pPr>
            <w:r>
              <w:t>库</w:t>
            </w:r>
          </w:p>
        </w:tc>
        <w:tc>
          <w:tcPr>
            <w:tcW w:w="4364" w:type="dxa"/>
            <w:vAlign w:val="top"/>
          </w:tcPr>
          <w:p w14:paraId="767779FD">
            <w:pPr>
              <w:spacing w:line="249" w:lineRule="auto"/>
              <w:rPr>
                <w:rFonts w:ascii="Arial"/>
                <w:sz w:val="21"/>
              </w:rPr>
            </w:pPr>
          </w:p>
          <w:p w14:paraId="448598C9">
            <w:pPr>
              <w:spacing w:line="249" w:lineRule="auto"/>
              <w:rPr>
                <w:rFonts w:ascii="Arial"/>
                <w:sz w:val="21"/>
              </w:rPr>
            </w:pPr>
          </w:p>
          <w:p w14:paraId="37C2593D">
            <w:pPr>
              <w:spacing w:line="250" w:lineRule="auto"/>
              <w:rPr>
                <w:rFonts w:ascii="Arial"/>
                <w:sz w:val="21"/>
              </w:rPr>
            </w:pPr>
          </w:p>
          <w:p w14:paraId="44CD8013">
            <w:pPr>
              <w:spacing w:line="250" w:lineRule="auto"/>
              <w:rPr>
                <w:rFonts w:ascii="Arial"/>
                <w:sz w:val="21"/>
              </w:rPr>
            </w:pPr>
          </w:p>
          <w:p w14:paraId="4CBD8D83">
            <w:pPr>
              <w:spacing w:line="250" w:lineRule="auto"/>
              <w:rPr>
                <w:rFonts w:ascii="Arial"/>
                <w:sz w:val="21"/>
              </w:rPr>
            </w:pPr>
          </w:p>
          <w:p w14:paraId="2F59CACF">
            <w:pPr>
              <w:pStyle w:val="6"/>
              <w:spacing w:before="55" w:line="227" w:lineRule="auto"/>
              <w:ind w:left="29" w:right="78" w:firstLine="1"/>
            </w:pPr>
            <w:r>
              <w:rPr>
                <w:spacing w:val="-1"/>
              </w:rPr>
              <w:t>《中华人民共和国森林法》，《中华人民共和国森林法实</w:t>
            </w:r>
            <w:r>
              <w:t>施条例》，财综〔2002〕73号，财税〔2015〕122号，冀财综[</w:t>
            </w:r>
            <w:r>
              <w:fldChar w:fldCharType="begin"/>
            </w:r>
            <w:r>
              <w:instrText xml:space="preserve"> HYPERLINK \l "bookmark28" </w:instrText>
            </w:r>
            <w:r>
              <w:fldChar w:fldCharType="separate"/>
            </w:r>
            <w:r>
              <w:t>2012</w:t>
            </w:r>
            <w:r>
              <w:fldChar w:fldCharType="end"/>
            </w:r>
            <w:r>
              <w:t>]9号，冀财税[</w:t>
            </w:r>
            <w:r>
              <w:fldChar w:fldCharType="begin"/>
            </w:r>
            <w:r>
              <w:instrText xml:space="preserve"> HYPERLINK \l "bookmark29" </w:instrText>
            </w:r>
            <w:r>
              <w:fldChar w:fldCharType="separate"/>
            </w:r>
            <w:r>
              <w:t>2016</w:t>
            </w:r>
            <w:r>
              <w:fldChar w:fldCharType="end"/>
            </w:r>
            <w:r>
              <w:t>]25号，财税[</w:t>
            </w:r>
            <w:r>
              <w:fldChar w:fldCharType="begin"/>
            </w:r>
            <w:r>
              <w:instrText xml:space="preserve"> HYPERLINK \l "bookmark30" </w:instrText>
            </w:r>
            <w:r>
              <w:fldChar w:fldCharType="separate"/>
            </w:r>
            <w:r>
              <w:t>2022</w:t>
            </w:r>
            <w:r>
              <w:fldChar w:fldCharType="end"/>
            </w:r>
            <w:r>
              <w:t>]50号，</w:t>
            </w:r>
          </w:p>
          <w:p w14:paraId="52112529">
            <w:pPr>
              <w:pStyle w:val="6"/>
              <w:spacing w:line="228" w:lineRule="auto"/>
              <w:ind w:left="32" w:right="55"/>
            </w:pPr>
            <w:r>
              <w:t>省税务局通告[</w:t>
            </w:r>
            <w:r>
              <w:fldChar w:fldCharType="begin"/>
            </w:r>
            <w:r>
              <w:instrText xml:space="preserve"> HYPERLINK \l "bookmark31" </w:instrText>
            </w:r>
            <w:r>
              <w:fldChar w:fldCharType="separate"/>
            </w:r>
            <w:r>
              <w:t>2022</w:t>
            </w:r>
            <w:r>
              <w:fldChar w:fldCharType="end"/>
            </w:r>
            <w:r>
              <w:t>]3号，财税[</w:t>
            </w:r>
            <w:r>
              <w:fldChar w:fldCharType="begin"/>
            </w:r>
            <w:r>
              <w:instrText xml:space="preserve"> HYPERLINK \l "bookmark32" </w:instrText>
            </w:r>
            <w:r>
              <w:fldChar w:fldCharType="separate"/>
            </w:r>
            <w:r>
              <w:t>2023</w:t>
            </w:r>
            <w:r>
              <w:fldChar w:fldCharType="end"/>
            </w:r>
            <w:r>
              <w:t>]9号，《河北省税收征管保障办法》（省政府令[</w:t>
            </w:r>
            <w:r>
              <w:fldChar w:fldCharType="begin"/>
            </w:r>
            <w:r>
              <w:instrText xml:space="preserve"> HYPERLINK \l "bookmark33" </w:instrText>
            </w:r>
            <w:r>
              <w:fldChar w:fldCharType="separate"/>
            </w:r>
            <w:r>
              <w:t>2024</w:t>
            </w:r>
            <w:r>
              <w:fldChar w:fldCharType="end"/>
            </w:r>
            <w:r>
              <w:t>]第7</w:t>
            </w:r>
            <w:r>
              <w:rPr>
                <w:spacing w:val="-1"/>
              </w:rPr>
              <w:t>号修订）</w:t>
            </w:r>
          </w:p>
        </w:tc>
        <w:tc>
          <w:tcPr>
            <w:tcW w:w="3274" w:type="dxa"/>
            <w:vAlign w:val="top"/>
          </w:tcPr>
          <w:p w14:paraId="204DA31F">
            <w:pPr>
              <w:pStyle w:val="6"/>
              <w:spacing w:before="58" w:line="227" w:lineRule="auto"/>
              <w:ind w:left="34" w:right="162" w:firstLine="264"/>
            </w:pPr>
            <w:r>
              <w:rPr>
                <w:spacing w:val="-1"/>
              </w:rPr>
              <w:t>（一）郁闭度0.2以上的乔木林地（含</w:t>
            </w:r>
            <w:r>
              <w:t>采伐迹地、火烧迹地）、竹林地、苗圃</w:t>
            </w:r>
          </w:p>
          <w:p w14:paraId="523643B6">
            <w:pPr>
              <w:pStyle w:val="6"/>
              <w:spacing w:line="219" w:lineRule="auto"/>
              <w:ind w:left="34"/>
            </w:pPr>
            <w:r>
              <w:rPr>
                <w:spacing w:val="-2"/>
              </w:rPr>
              <w:t>地，每平方米10元；灌木林地、疏林地、</w:t>
            </w:r>
          </w:p>
          <w:p w14:paraId="07E4BD8D">
            <w:pPr>
              <w:pStyle w:val="6"/>
              <w:spacing w:before="5" w:line="227" w:lineRule="auto"/>
              <w:ind w:left="34" w:right="82" w:firstLine="3"/>
            </w:pPr>
            <w:r>
              <w:rPr>
                <w:spacing w:val="-1"/>
              </w:rPr>
              <w:t>未成林造林地，每平方米6元；宜林地，每</w:t>
            </w:r>
            <w:r>
              <w:rPr>
                <w:spacing w:val="-3"/>
              </w:rPr>
              <w:t>平方米3元。</w:t>
            </w:r>
          </w:p>
          <w:p w14:paraId="2A795AC3">
            <w:pPr>
              <w:pStyle w:val="6"/>
              <w:spacing w:before="1" w:line="226" w:lineRule="auto"/>
              <w:ind w:left="39" w:right="91" w:firstLine="258"/>
            </w:pPr>
            <w:r>
              <w:rPr>
                <w:spacing w:val="-1"/>
              </w:rPr>
              <w:t>（二）国家和省级公益林林地，按照第</w:t>
            </w:r>
            <w:r>
              <w:rPr>
                <w:spacing w:val="-2"/>
              </w:rPr>
              <w:t>（一）款规定征收标准2倍征收。</w:t>
            </w:r>
          </w:p>
          <w:p w14:paraId="21C20D7E">
            <w:pPr>
              <w:pStyle w:val="6"/>
              <w:spacing w:before="1" w:line="219" w:lineRule="auto"/>
              <w:ind w:left="298"/>
            </w:pPr>
            <w:r>
              <w:rPr>
                <w:spacing w:val="-2"/>
              </w:rPr>
              <w:t>（三）城市规划区的林地，按照第</w:t>
            </w:r>
          </w:p>
          <w:p w14:paraId="153A517D">
            <w:pPr>
              <w:pStyle w:val="6"/>
              <w:spacing w:before="6" w:line="220" w:lineRule="auto"/>
              <w:ind w:left="39"/>
            </w:pPr>
            <w:r>
              <w:rPr>
                <w:spacing w:val="-2"/>
              </w:rPr>
              <w:t>（一）、（二）款规定征收标准2倍征收。</w:t>
            </w:r>
          </w:p>
          <w:p w14:paraId="58EE6B21">
            <w:pPr>
              <w:pStyle w:val="6"/>
              <w:spacing w:before="6" w:line="227" w:lineRule="auto"/>
              <w:ind w:left="36" w:right="168" w:firstLine="347"/>
            </w:pPr>
            <w:r>
              <w:rPr>
                <w:spacing w:val="-2"/>
              </w:rPr>
              <w:t>（四）城市规划区外的林地，按占用</w:t>
            </w:r>
            <w:r>
              <w:rPr>
                <w:spacing w:val="-1"/>
              </w:rPr>
              <w:t>征收林地建设项目性质实行不同征收标准</w:t>
            </w:r>
          </w:p>
          <w:p w14:paraId="6BFE9388">
            <w:pPr>
              <w:pStyle w:val="6"/>
              <w:spacing w:before="2" w:line="226" w:lineRule="auto"/>
              <w:ind w:left="36" w:right="175" w:firstLine="14"/>
            </w:pPr>
            <w:r>
              <w:rPr>
                <w:spacing w:val="-2"/>
              </w:rPr>
              <w:t>。属于公共基础设施、公共事业和国防建</w:t>
            </w:r>
            <w:r>
              <w:rPr>
                <w:spacing w:val="-1"/>
              </w:rPr>
              <w:t>设项目的，按照第（一）、（二）款规定</w:t>
            </w:r>
            <w:r>
              <w:rPr>
                <w:spacing w:val="-3"/>
              </w:rPr>
              <w:t>征收标准征收；属于经营性建设项目的，</w:t>
            </w:r>
          </w:p>
          <w:p w14:paraId="48EC56DF">
            <w:pPr>
              <w:pStyle w:val="6"/>
              <w:spacing w:before="2" w:line="228" w:lineRule="auto"/>
              <w:ind w:left="36" w:right="89"/>
            </w:pPr>
            <w:r>
              <w:rPr>
                <w:spacing w:val="-1"/>
              </w:rPr>
              <w:t>按照第（一）、（二）款规定征收标准2倍</w:t>
            </w:r>
            <w:r>
              <w:rPr>
                <w:spacing w:val="-8"/>
              </w:rPr>
              <w:t>征收。</w:t>
            </w:r>
          </w:p>
        </w:tc>
      </w:tr>
    </w:tbl>
    <w:p w14:paraId="48D08E9C">
      <w:pPr>
        <w:rPr>
          <w:rFonts w:ascii="Arial"/>
          <w:sz w:val="21"/>
        </w:rPr>
      </w:pPr>
    </w:p>
    <w:sectPr>
      <w:footerReference r:id="rId7" w:type="default"/>
      <w:pgSz w:w="11907" w:h="16839"/>
      <w:pgMar w:top="1452" w:right="470" w:bottom="657" w:left="851" w:header="1190" w:footer="455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8401AE">
    <w:pPr>
      <w:spacing w:line="209" w:lineRule="auto"/>
      <w:ind w:left="4608"/>
      <w:rPr>
        <w:rFonts w:ascii="新宋体" w:hAnsi="新宋体" w:eastAsia="新宋体" w:cs="新宋体"/>
        <w:sz w:val="17"/>
        <w:szCs w:val="17"/>
      </w:rPr>
    </w:pPr>
    <w:r>
      <w:rPr>
        <w:rFonts w:ascii="新宋体" w:hAnsi="新宋体" w:eastAsia="新宋体" w:cs="新宋体"/>
        <w:spacing w:val="-6"/>
        <w:sz w:val="17"/>
        <w:szCs w:val="17"/>
      </w:rPr>
      <w:t>第</w:t>
    </w:r>
    <w:r>
      <w:rPr>
        <w:rFonts w:ascii="新宋体" w:hAnsi="新宋体" w:eastAsia="新宋体" w:cs="新宋体"/>
        <w:spacing w:val="24"/>
        <w:sz w:val="17"/>
        <w:szCs w:val="17"/>
      </w:rPr>
      <w:t xml:space="preserve"> </w:t>
    </w:r>
    <w:r>
      <w:rPr>
        <w:rFonts w:ascii="新宋体" w:hAnsi="新宋体" w:eastAsia="新宋体" w:cs="新宋体"/>
        <w:spacing w:val="-6"/>
        <w:sz w:val="17"/>
        <w:szCs w:val="17"/>
      </w:rPr>
      <w:t>1</w:t>
    </w:r>
    <w:r>
      <w:rPr>
        <w:rFonts w:ascii="新宋体" w:hAnsi="新宋体" w:eastAsia="新宋体" w:cs="新宋体"/>
        <w:spacing w:val="13"/>
        <w:sz w:val="17"/>
        <w:szCs w:val="17"/>
      </w:rPr>
      <w:t xml:space="preserve"> </w:t>
    </w:r>
    <w:r>
      <w:rPr>
        <w:rFonts w:ascii="新宋体" w:hAnsi="新宋体" w:eastAsia="新宋体" w:cs="新宋体"/>
        <w:spacing w:val="-6"/>
        <w:sz w:val="17"/>
        <w:szCs w:val="17"/>
      </w:rPr>
      <w:t>页，共</w:t>
    </w:r>
    <w:r>
      <w:rPr>
        <w:rFonts w:ascii="新宋体" w:hAnsi="新宋体" w:eastAsia="新宋体" w:cs="新宋体"/>
        <w:spacing w:val="12"/>
        <w:sz w:val="17"/>
        <w:szCs w:val="17"/>
      </w:rPr>
      <w:t xml:space="preserve"> </w:t>
    </w:r>
    <w:r>
      <w:rPr>
        <w:rFonts w:ascii="新宋体" w:hAnsi="新宋体" w:eastAsia="新宋体" w:cs="新宋体"/>
        <w:spacing w:val="-6"/>
        <w:sz w:val="17"/>
        <w:szCs w:val="17"/>
      </w:rPr>
      <w:t>2</w:t>
    </w:r>
    <w:r>
      <w:rPr>
        <w:rFonts w:ascii="新宋体" w:hAnsi="新宋体" w:eastAsia="新宋体" w:cs="新宋体"/>
        <w:spacing w:val="13"/>
        <w:sz w:val="17"/>
        <w:szCs w:val="17"/>
      </w:rPr>
      <w:t xml:space="preserve"> </w:t>
    </w:r>
    <w:r>
      <w:rPr>
        <w:rFonts w:ascii="新宋体" w:hAnsi="新宋体" w:eastAsia="新宋体" w:cs="新宋体"/>
        <w:spacing w:val="-6"/>
        <w:sz w:val="17"/>
        <w:szCs w:val="17"/>
      </w:rPr>
      <w:t>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AF65EA">
    <w:pPr>
      <w:pStyle w:val="2"/>
      <w:spacing w:line="209" w:lineRule="auto"/>
      <w:ind w:left="4608"/>
    </w:pPr>
    <w:r>
      <w:rPr>
        <w:spacing w:val="-5"/>
      </w:rPr>
      <w:t>第</w:t>
    </w:r>
    <w:r>
      <w:rPr>
        <w:spacing w:val="17"/>
      </w:rPr>
      <w:t xml:space="preserve"> </w:t>
    </w:r>
    <w:r>
      <w:rPr>
        <w:spacing w:val="-5"/>
      </w:rPr>
      <w:t>2</w:t>
    </w:r>
    <w:r>
      <w:rPr>
        <w:spacing w:val="13"/>
      </w:rPr>
      <w:t xml:space="preserve"> </w:t>
    </w:r>
    <w:r>
      <w:rPr>
        <w:spacing w:val="-5"/>
      </w:rPr>
      <w:t>页，共</w:t>
    </w:r>
    <w:r>
      <w:rPr>
        <w:spacing w:val="12"/>
      </w:rPr>
      <w:t xml:space="preserve"> </w:t>
    </w:r>
    <w:r>
      <w:rPr>
        <w:spacing w:val="-5"/>
      </w:rPr>
      <w:t>2</w:t>
    </w:r>
    <w:r>
      <w:rPr>
        <w:spacing w:val="13"/>
      </w:rPr>
      <w:t xml:space="preserve"> </w:t>
    </w:r>
    <w:r>
      <w:rPr>
        <w:spacing w:val="-5"/>
      </w:rPr>
      <w:t>页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C3ED3B">
    <w:pPr>
      <w:spacing w:before="46" w:line="219" w:lineRule="auto"/>
      <w:ind w:left="58"/>
      <w:rPr>
        <w:rFonts w:ascii="宋体" w:hAnsi="宋体" w:eastAsia="宋体" w:cs="宋体"/>
        <w:sz w:val="17"/>
        <w:szCs w:val="17"/>
      </w:rPr>
    </w:pPr>
    <w:r>
      <w:rPr>
        <w:rFonts w:ascii="宋体" w:hAnsi="宋体" w:eastAsia="宋体" w:cs="宋体"/>
        <w:spacing w:val="-5"/>
        <w:sz w:val="17"/>
        <w:szCs w:val="17"/>
      </w:rPr>
      <w:t>附件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28C3249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新宋体" w:hAnsi="新宋体" w:eastAsia="新宋体" w:cs="新宋体"/>
      <w:sz w:val="17"/>
      <w:szCs w:val="17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17"/>
      <w:szCs w:val="17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2450</Words>
  <Characters>3088</Characters>
  <TotalTime>0</TotalTime>
  <ScaleCrop>false</ScaleCrop>
  <LinksUpToDate>false</LinksUpToDate>
  <CharactersWithSpaces>3150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2026-03-11T15:34:00Z</dcterms:created>
  <dc:creator>wqj</dc:creator>
  <cp:lastModifiedBy>一个小朋友</cp:lastModifiedBy>
  <dcterms:modified xsi:type="dcterms:W3CDTF">2026-03-24T03:51:34Z</dcterms:modified>
  <dc:title>中华人民共和国财政部综合司发文管理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2026-03-24T11:50:30Z</vt:filetime>
  </property>
  <property fmtid="{D5CDD505-2E9C-101B-9397-08002B2CF9AE}" pid="4" name="KSOTemplateDocerSaveRecord">
    <vt:lpwstr>eyJoZGlkIjoiMGRlN2RiMzU0NDAxMWU1OTQ5ZWI2NmE1NTBkYTAzMjUiLCJ1c2VySWQiOiIzOTUwMzgwMjAifQ==</vt:lpwstr>
  </property>
  <property fmtid="{D5CDD505-2E9C-101B-9397-08002B2CF9AE}" pid="5" name="KSOProductBuildVer">
    <vt:lpwstr>2052-12.1.0.25225</vt:lpwstr>
  </property>
  <property fmtid="{D5CDD505-2E9C-101B-9397-08002B2CF9AE}" pid="6" name="ICV">
    <vt:lpwstr>A14889FCFD1A4B059BF16DB503683D1C_12</vt:lpwstr>
  </property>
</Properties>
</file>