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30257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10"/>
          <w:rFonts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  <w:r>
        <w:rPr>
          <w:rStyle w:val="10"/>
          <w:rFonts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深泽县</w:t>
      </w:r>
      <w:r>
        <w:rPr>
          <w:rStyle w:val="10"/>
          <w:rFonts w:hint="eastAsia" w:ascii="宋体" w:hAnsi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  <w:lang w:val="en-US" w:eastAsia="zh-CN"/>
        </w:rPr>
        <w:t>财政</w:t>
      </w:r>
      <w:r>
        <w:rPr>
          <w:rStyle w:val="10"/>
          <w:rFonts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局</w:t>
      </w:r>
    </w:p>
    <w:p w14:paraId="4C778670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10"/>
          <w:rFonts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  <w:r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2026年“双随机、一公开”监管工作</w:t>
      </w:r>
    </w:p>
    <w:p w14:paraId="250350B5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  <w:r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实施方案</w:t>
      </w:r>
    </w:p>
    <w:p w14:paraId="4C78F80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</w:p>
    <w:p w14:paraId="3CF4E0EF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为全面落实《</w:t>
      </w:r>
      <w:r>
        <w:rPr>
          <w:rFonts w:hint="eastAsia" w:ascii="仿宋" w:hAnsi="宋体" w:eastAsia="仿宋" w:cs="仿宋"/>
          <w:color w:val="0F1115"/>
          <w:sz w:val="32"/>
          <w:szCs w:val="32"/>
          <w:shd w:val="clear" w:color="auto" w:fill="FFFFFF"/>
        </w:rPr>
        <w:t>石家庄市市场监管系统2026年“双随机、一公开”监管工作实施方案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》各项要求，进一步规范涉企行政检查，提升监管效能，营造公平有序的市场环境，结合我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实际，制定本方案。</w:t>
      </w:r>
    </w:p>
    <w:p w14:paraId="76840611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640" w:firstLineChars="200"/>
        <w:textAlignment w:val="auto"/>
        <w:rPr>
          <w:rStyle w:val="10"/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</w:pPr>
      <w:r>
        <w:rPr>
          <w:rStyle w:val="10"/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一、工作目标</w:t>
      </w:r>
    </w:p>
    <w:p w14:paraId="6457B8E0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持续规范涉企行政检查，提升行政检查效能，深入推进“双随机、一公开”监管常态化、精细化、智能化。推动市场监管系统内部联合抽查和跨部门联合抽查常态化，避免重复检查、多头检查；推行非现场检查，减少入企频次；深化信用风险分类管理，实施差异化、靶向化抽查，实现对守法者“无事不扰”，对违法者“无处不在”。</w:t>
      </w:r>
    </w:p>
    <w:p w14:paraId="06364B27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79" w:leftChars="228" w:right="0" w:firstLine="160" w:firstLineChars="5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二、</w:t>
      </w:r>
      <w:r>
        <w:rPr>
          <w:rStyle w:val="10"/>
          <w:rFonts w:hint="eastAsia" w:ascii="黑体" w:hAnsi="黑体" w:eastAsia="黑体" w:cs="黑体"/>
          <w:b w:val="0"/>
          <w:bCs w:val="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主要任务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（一）优化完善工作平台运用</w:t>
      </w:r>
    </w:p>
    <w:p w14:paraId="7C92B374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加强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对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河北省双随机执法监管平台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以下简称省监管平台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的操作培训，确保所有行政检查全过程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高效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准确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。实现检查结果后续处置与列入经营异常名录、信用修复等环节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有效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衔接，形成“检查—处理—公示—修复”管理闭环。</w:t>
      </w:r>
    </w:p>
    <w:p w14:paraId="289A7B6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482" w:firstLineChars="15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（二）规范管理“一单两库”</w:t>
      </w:r>
    </w:p>
    <w:p w14:paraId="320569B1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动态更新抽查事项清单：根据法律法规立改废情况及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省市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局清单，动态调整并公示本级随机抽查事项清单，明确检查依据、内容与要求。</w:t>
      </w:r>
    </w:p>
    <w:p w14:paraId="635EB4B1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精准维护检查对象名录库：及时在省监管平台认领新增检查对象，实施标签化管理，结合信用分类标注，实现监管对象精准索引。</w:t>
      </w:r>
    </w:p>
    <w:p w14:paraId="06A8CCA9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优化执法人员名录库：及时更新执法人员信息，按业务专长、执法资质、回避范围等分类标注，实现“人、事”精准匹配。</w:t>
      </w:r>
    </w:p>
    <w:p w14:paraId="063D6C3C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（三）科学制定与实施抽查计划</w:t>
      </w:r>
    </w:p>
    <w:p w14:paraId="4B507002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统筹制定计划：依据省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局部署和法定职责，结合辖区行业特点与风险状况，科学制定年度抽查计划，及时向社会公示。抽查企业比例不低于全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企业总数的3%。</w:t>
      </w:r>
    </w:p>
    <w:p w14:paraId="62DC840F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规范组织实施：严格执行“扫码入企”制度，出示执法证件，主动接受检查对象评价。严格按照计划时限开展检查，杜绝任务超期。</w:t>
      </w:r>
    </w:p>
    <w:p w14:paraId="28770174"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强化结果处置与闭环衔接：对检查结果的认定须依法、严谨、准确，确保程序规范、证据完整。特别是对通过登记住所（经营场所）无法联系的检查对象，必须严格按照《企业公示信息抽查办法》规定进行认定，做到检查结果公示、后续监管与信用惩戒有效衔接，实现闭环管理。</w:t>
      </w:r>
    </w:p>
    <w:p w14:paraId="5FF8C9EB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深化联合抽查与差异化监管</w:t>
      </w:r>
    </w:p>
    <w:p w14:paraId="781A8D1F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坚持“应合尽合、应联尽联”，发挥信用监管牵头作用，统筹推进系统内及跨部门联合抽查，深化“一业一查”模式。根据经营主体信用风险分类结果，实施差异化抽查：对信用风险低的企业，除法律法规另有规定外，本年度内原则上不重复抽查；对风险高的企业提高抽查比例和频次。</w:t>
      </w:r>
    </w:p>
    <w:p w14:paraId="0E63C0A8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推行非现场检查</w:t>
      </w:r>
    </w:p>
    <w:p w14:paraId="0E9855FA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对可通过远程监测、数据自动校验、风险预警等方式实现有效监管的事项，积极推行非现场检查。探索建立非现场检查程序规则，最大限度减少现场检查比例，减少对企业正常经营的干扰。</w:t>
      </w:r>
    </w:p>
    <w:p w14:paraId="29E65BB2">
      <w:pPr>
        <w:pStyle w:val="7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开展风险靶向抽查</w:t>
      </w:r>
    </w:p>
    <w:p w14:paraId="4BF06988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结合投诉举报、舆情监测、风险预警及日常监管中发现的多发、易发风险隐患，组织开展靶向抽查。重点关注“零值年报”“一址多照”等风险线索，依法加大问题处置与惩戒力度，防范区域性、行业性风险。认真贯彻落实新修订《公司法》，做好登记事项、认缴实缴、即时信息公示等监管工作。</w:t>
      </w:r>
    </w:p>
    <w:p w14:paraId="7F4C5F9B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479" w:leftChars="228" w:right="0" w:firstLine="161" w:firstLineChars="50"/>
        <w:textAlignment w:val="auto"/>
        <w:rPr>
          <w:rStyle w:val="10"/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三、</w:t>
      </w:r>
      <w:r>
        <w:rPr>
          <w:rStyle w:val="10"/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工作要求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br w:type="textWrapping"/>
      </w:r>
      <w:r>
        <w:rPr>
          <w:rStyle w:val="10"/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（一）加强统筹协调与督导</w:t>
      </w:r>
    </w:p>
    <w:p w14:paraId="61592B6E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ind w:left="0" w:firstLine="640" w:firstLineChars="200"/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县局企监股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将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组织开展双随机抽查回访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对抽查检查走形式、随意录入检查结果等问题，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进行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督促整改。各业务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股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室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需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加强对本条线抽查工作的指导，及时回应疑问。</w:t>
      </w:r>
    </w:p>
    <w:p w14:paraId="5ECC13BC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ind w:left="0" w:firstLine="640" w:firstLineChars="200"/>
        <w:rPr>
          <w:rFonts w:hint="eastAsia" w:ascii="仿宋" w:hAnsi="仿宋" w:eastAsia="仿宋" w:cs="仿宋"/>
          <w:color w:val="0F1115"/>
          <w:sz w:val="32"/>
          <w:szCs w:val="32"/>
          <w:shd w:val="clear" w:color="auto" w:fill="FFFFFF"/>
        </w:rPr>
      </w:pP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（二）</w:t>
      </w:r>
      <w:r>
        <w:rPr>
          <w:rStyle w:val="10"/>
          <w:rFonts w:hint="eastAsia" w:ascii="仿宋" w:hAnsi="仿宋" w:eastAsia="仿宋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严肃检查纪律</w:t>
      </w:r>
    </w:p>
    <w:p w14:paraId="6CBF19CA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ind w:left="0" w:firstLine="640" w:firstLineChars="200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严格落实涉企行政检查“五个严禁”“八个不得”要求，坚决杜绝任性检查、运动式检查和变相检查。对随意录入或修改检查结果、超期未完成抽查任务的单位和个人，</w:t>
      </w: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局将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依规进行约谈提醒。</w:t>
      </w:r>
    </w:p>
    <w:p w14:paraId="0FFF05EC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  <w:t xml:space="preserve">         </w:t>
      </w:r>
    </w:p>
    <w:p w14:paraId="23CE3935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  <w:t xml:space="preserve">                                  2026年3月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lang w:val="en-US" w:eastAsia="zh-CN"/>
        </w:rPr>
        <w:t>23</w:t>
      </w:r>
      <w:bookmarkStart w:id="0" w:name="_GoBack"/>
      <w:bookmarkEnd w:id="0"/>
      <w:r>
        <w:rPr>
          <w:rFonts w:ascii="仿宋" w:hAnsi="仿宋" w:eastAsia="仿宋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9E605A">
    <w:pPr>
      <w:pStyle w:val="5"/>
    </w:pPr>
    <w:r>
      <w:rPr>
        <w:sz w:val="18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7950" cy="139560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0B78CF4A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1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ApP9x3VAAAAAgEAAA8AAAAAAAAAAQAgAAAAIgAAAGRycy9kb3du&#10;cmV2LnhtbFBLAQIUABQAAAAIAIdO4kAn95HlAgIAAPMDAAAOAAAAAAAAAAEAIAAAACQBAABkcnMv&#10;ZTJvRG9jLnhtbFBLBQYAAAAABgAGAFkBAACY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0B78CF4A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CCD367"/>
    <w:multiLevelType w:val="singleLevel"/>
    <w:tmpl w:val="F7CCD36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9A34033"/>
    <w:multiLevelType w:val="singleLevel"/>
    <w:tmpl w:val="29A34033"/>
    <w:lvl w:ilvl="0" w:tentative="0">
      <w:start w:val="4"/>
      <w:numFmt w:val="chineseCounting"/>
      <w:suff w:val="nothing"/>
      <w:lvlText w:val="（%1）"/>
      <w:lvlJc w:val="left"/>
      <w:pPr>
        <w:ind w:left="0" w:firstLine="0"/>
      </w:pPr>
      <w:rPr>
        <w:rFonts w:hint="eastAsia"/>
      </w:rPr>
    </w:lvl>
  </w:abstractNum>
  <w:abstractNum w:abstractNumId="2">
    <w:nsid w:val="36D0A0F7"/>
    <w:multiLevelType w:val="singleLevel"/>
    <w:tmpl w:val="36D0A0F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rsids>
    <w:rsidRoot w:val="00000000"/>
    <w:rsid w:val="7EF647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spacing w:before="0" w:beforeAutospacing="1" w:after="0" w:afterAutospacing="1"/>
      <w:jc w:val="left"/>
      <w:outlineLvl w:val="0"/>
    </w:pPr>
    <w:rPr>
      <w:rFonts w:ascii="宋体" w:hAnsi="宋体" w:eastAsia="宋体" w:cs="宋体"/>
      <w:b/>
      <w:bCs/>
      <w:kern w:val="44"/>
      <w:sz w:val="48"/>
      <w:szCs w:val="48"/>
      <w:lang w:val="en-US" w:eastAsia="zh-CN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iPriority w:val="0"/>
    <w:rPr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B43A5CB-297C-4E68-81BB-14A711DEFE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1396</Words>
  <Characters>1407</Characters>
  <Lines>0</Lines>
  <Paragraphs>29</Paragraphs>
  <TotalTime>59</TotalTime>
  <ScaleCrop>false</ScaleCrop>
  <LinksUpToDate>false</LinksUpToDate>
  <CharactersWithSpaces>1450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2026-02-04T02:48:00Z</dcterms:created>
  <dc:creator>宁森淼</dc:creator>
  <cp:lastModifiedBy>一个小朋友</cp:lastModifiedBy>
  <cp:lastPrinted>2026-02-11T01:12:00Z</cp:lastPrinted>
  <dcterms:modified xsi:type="dcterms:W3CDTF">2026-03-25T01:07:24Z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6414FB46CA6B44E7AC050066ED75C274_13</vt:lpwstr>
  </property>
  <property fmtid="{D5CDD505-2E9C-101B-9397-08002B2CF9AE}" pid="4" name="KSOTemplateDocerSaveRecord">
    <vt:lpwstr>eyJoZGlkIjoiMGRlN2RiMzU0NDAxMWU1OTQ5ZWI2NmE1NTBkYTAzMjUiLCJ1c2VySWQiOiIzOTUwMzgwMjAifQ==</vt:lpwstr>
  </property>
</Properties>
</file>