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23.49</w:t>
            </w:r>
          </w:p>
        </w:tc>
        <w:tc>
          <w:tcPr>
            <w:tcW w:w="4535" w:type="dxa"/>
            <w:vAlign w:val="center"/>
          </w:tcPr>
          <w:p>
            <w:pPr>
              <w:pStyle w:val="14"/>
            </w:pPr>
            <w:r>
              <w:t>一、一般公共服务支出</w:t>
            </w:r>
          </w:p>
        </w:tc>
        <w:tc>
          <w:tcPr>
            <w:tcW w:w="2126" w:type="dxa"/>
            <w:vAlign w:val="center"/>
          </w:tcPr>
          <w:p>
            <w:pPr>
              <w:pStyle w:val="13"/>
            </w:pPr>
            <w:r>
              <w:t>18.52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23.49</w:t>
            </w:r>
          </w:p>
        </w:tc>
        <w:tc>
          <w:tcPr>
            <w:tcW w:w="4535" w:type="dxa"/>
            <w:vAlign w:val="center"/>
          </w:tcPr>
          <w:p>
            <w:pPr>
              <w:pStyle w:val="16"/>
            </w:pPr>
            <w:r>
              <w:t>本年支出合计</w:t>
            </w:r>
          </w:p>
        </w:tc>
        <w:tc>
          <w:tcPr>
            <w:tcW w:w="2126" w:type="dxa"/>
            <w:vAlign w:val="center"/>
          </w:tcPr>
          <w:p>
            <w:pPr>
              <w:pStyle w:val="17"/>
            </w:pPr>
            <w:r>
              <w:t>23.49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23.49</w:t>
            </w:r>
          </w:p>
        </w:tc>
        <w:tc>
          <w:tcPr>
            <w:tcW w:w="4535" w:type="dxa"/>
            <w:vAlign w:val="center"/>
          </w:tcPr>
          <w:p>
            <w:pPr>
              <w:pStyle w:val="16"/>
            </w:pPr>
            <w:r>
              <w:t>支出总计</w:t>
            </w:r>
          </w:p>
        </w:tc>
        <w:tc>
          <w:tcPr>
            <w:tcW w:w="2126" w:type="dxa"/>
            <w:vAlign w:val="center"/>
          </w:tcPr>
          <w:p>
            <w:pPr>
              <w:pStyle w:val="17"/>
            </w:pPr>
            <w:r>
              <w:t>23.49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23.49</w:t>
            </w:r>
          </w:p>
        </w:tc>
        <w:tc>
          <w:tcPr>
            <w:tcW w:w="1134" w:type="dxa"/>
            <w:vAlign w:val="center"/>
          </w:tcPr>
          <w:p>
            <w:pPr>
              <w:pStyle w:val="17"/>
            </w:pPr>
            <w:r>
              <w:t>23.49</w:t>
            </w:r>
          </w:p>
        </w:tc>
        <w:tc>
          <w:tcPr>
            <w:tcW w:w="1134" w:type="dxa"/>
            <w:vAlign w:val="center"/>
          </w:tcPr>
          <w:p>
            <w:pPr>
              <w:pStyle w:val="17"/>
            </w:pPr>
            <w:r>
              <w:t>23.49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r>
              <w:t>18.52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r>
              <w:t>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r>
              <w:t>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23.49</w:t>
            </w:r>
          </w:p>
        </w:tc>
        <w:tc>
          <w:tcPr>
            <w:tcW w:w="1361" w:type="dxa"/>
            <w:vAlign w:val="center"/>
          </w:tcPr>
          <w:p>
            <w:pPr>
              <w:pStyle w:val="17"/>
            </w:pPr>
            <w:r>
              <w:t>23.49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18.52</w:t>
            </w:r>
          </w:p>
        </w:tc>
        <w:tc>
          <w:tcPr>
            <w:tcW w:w="1361" w:type="dxa"/>
            <w:vAlign w:val="center"/>
          </w:tcPr>
          <w:p>
            <w:pPr>
              <w:pStyle w:val="13"/>
            </w:pPr>
            <w:r>
              <w:t>18.52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18.52</w:t>
            </w:r>
          </w:p>
        </w:tc>
        <w:tc>
          <w:tcPr>
            <w:tcW w:w="1361" w:type="dxa"/>
            <w:vAlign w:val="center"/>
          </w:tcPr>
          <w:p>
            <w:pPr>
              <w:pStyle w:val="13"/>
            </w:pPr>
            <w:r>
              <w:t>18.52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18.52</w:t>
            </w:r>
          </w:p>
        </w:tc>
        <w:tc>
          <w:tcPr>
            <w:tcW w:w="1361" w:type="dxa"/>
            <w:vAlign w:val="center"/>
          </w:tcPr>
          <w:p>
            <w:pPr>
              <w:pStyle w:val="13"/>
            </w:pPr>
            <w:r>
              <w:t>18.52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2.17</w:t>
            </w:r>
          </w:p>
        </w:tc>
        <w:tc>
          <w:tcPr>
            <w:tcW w:w="1361" w:type="dxa"/>
            <w:vAlign w:val="center"/>
          </w:tcPr>
          <w:p>
            <w:pPr>
              <w:pStyle w:val="13"/>
            </w:pPr>
            <w:r>
              <w:t>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2.17</w:t>
            </w:r>
          </w:p>
        </w:tc>
        <w:tc>
          <w:tcPr>
            <w:tcW w:w="1361" w:type="dxa"/>
            <w:vAlign w:val="center"/>
          </w:tcPr>
          <w:p>
            <w:pPr>
              <w:pStyle w:val="13"/>
            </w:pPr>
            <w:r>
              <w:t>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2.17</w:t>
            </w:r>
          </w:p>
        </w:tc>
        <w:tc>
          <w:tcPr>
            <w:tcW w:w="1361" w:type="dxa"/>
            <w:vAlign w:val="center"/>
          </w:tcPr>
          <w:p>
            <w:pPr>
              <w:pStyle w:val="13"/>
            </w:pPr>
            <w:r>
              <w:t>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1.03</w:t>
            </w:r>
          </w:p>
        </w:tc>
        <w:tc>
          <w:tcPr>
            <w:tcW w:w="1361" w:type="dxa"/>
            <w:vAlign w:val="center"/>
          </w:tcPr>
          <w:p>
            <w:pPr>
              <w:pStyle w:val="13"/>
            </w:pPr>
            <w:r>
              <w:t>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1.03</w:t>
            </w:r>
          </w:p>
        </w:tc>
        <w:tc>
          <w:tcPr>
            <w:tcW w:w="1361" w:type="dxa"/>
            <w:vAlign w:val="center"/>
          </w:tcPr>
          <w:p>
            <w:pPr>
              <w:pStyle w:val="13"/>
            </w:pPr>
            <w:r>
              <w:t>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1.03</w:t>
            </w:r>
          </w:p>
        </w:tc>
        <w:tc>
          <w:tcPr>
            <w:tcW w:w="1361" w:type="dxa"/>
            <w:vAlign w:val="center"/>
          </w:tcPr>
          <w:p>
            <w:pPr>
              <w:pStyle w:val="13"/>
            </w:pPr>
            <w:r>
              <w:t>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1.77</w:t>
            </w:r>
          </w:p>
        </w:tc>
        <w:tc>
          <w:tcPr>
            <w:tcW w:w="1361" w:type="dxa"/>
            <w:vAlign w:val="center"/>
          </w:tcPr>
          <w:p>
            <w:pPr>
              <w:pStyle w:val="13"/>
            </w:pPr>
            <w:r>
              <w:t>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1.77</w:t>
            </w:r>
          </w:p>
        </w:tc>
        <w:tc>
          <w:tcPr>
            <w:tcW w:w="1361" w:type="dxa"/>
            <w:vAlign w:val="center"/>
          </w:tcPr>
          <w:p>
            <w:pPr>
              <w:pStyle w:val="13"/>
            </w:pPr>
            <w:r>
              <w:t>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1.77</w:t>
            </w:r>
          </w:p>
        </w:tc>
        <w:tc>
          <w:tcPr>
            <w:tcW w:w="1361" w:type="dxa"/>
            <w:vAlign w:val="center"/>
          </w:tcPr>
          <w:p>
            <w:pPr>
              <w:pStyle w:val="13"/>
            </w:pPr>
            <w:r>
              <w:t>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23.49</w:t>
            </w:r>
          </w:p>
        </w:tc>
        <w:tc>
          <w:tcPr>
            <w:tcW w:w="3402" w:type="dxa"/>
            <w:vAlign w:val="center"/>
          </w:tcPr>
          <w:p>
            <w:pPr>
              <w:pStyle w:val="14"/>
            </w:pPr>
            <w:r>
              <w:t>一、一般公共服务支出</w:t>
            </w:r>
          </w:p>
        </w:tc>
        <w:tc>
          <w:tcPr>
            <w:tcW w:w="1474" w:type="dxa"/>
            <w:vAlign w:val="center"/>
          </w:tcPr>
          <w:p>
            <w:pPr>
              <w:pStyle w:val="13"/>
            </w:pPr>
            <w:r>
              <w:t>18.52</w:t>
            </w:r>
          </w:p>
        </w:tc>
        <w:tc>
          <w:tcPr>
            <w:tcW w:w="1474" w:type="dxa"/>
            <w:vAlign w:val="center"/>
          </w:tcPr>
          <w:p>
            <w:pPr>
              <w:pStyle w:val="13"/>
            </w:pPr>
            <w:r>
              <w:t>18.52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2.17</w:t>
            </w:r>
          </w:p>
        </w:tc>
        <w:tc>
          <w:tcPr>
            <w:tcW w:w="1474" w:type="dxa"/>
            <w:vAlign w:val="center"/>
          </w:tcPr>
          <w:p>
            <w:pPr>
              <w:pStyle w:val="13"/>
            </w:pPr>
            <w:r>
              <w:t>2.17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1.03</w:t>
            </w:r>
          </w:p>
        </w:tc>
        <w:tc>
          <w:tcPr>
            <w:tcW w:w="1474" w:type="dxa"/>
            <w:vAlign w:val="center"/>
          </w:tcPr>
          <w:p>
            <w:pPr>
              <w:pStyle w:val="13"/>
            </w:pPr>
            <w:r>
              <w:t>1.03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1.77</w:t>
            </w:r>
          </w:p>
        </w:tc>
        <w:tc>
          <w:tcPr>
            <w:tcW w:w="1474" w:type="dxa"/>
            <w:vAlign w:val="center"/>
          </w:tcPr>
          <w:p>
            <w:pPr>
              <w:pStyle w:val="13"/>
            </w:pPr>
            <w:r>
              <w:t>1.77</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23.49</w:t>
            </w:r>
          </w:p>
        </w:tc>
        <w:tc>
          <w:tcPr>
            <w:tcW w:w="3402" w:type="dxa"/>
            <w:vAlign w:val="center"/>
          </w:tcPr>
          <w:p>
            <w:pPr>
              <w:pStyle w:val="16"/>
            </w:pPr>
            <w:r>
              <w:t>本年支出合计</w:t>
            </w:r>
          </w:p>
        </w:tc>
        <w:tc>
          <w:tcPr>
            <w:tcW w:w="1474" w:type="dxa"/>
            <w:vAlign w:val="center"/>
          </w:tcPr>
          <w:p>
            <w:pPr>
              <w:pStyle w:val="17"/>
            </w:pPr>
            <w:r>
              <w:t>23.49</w:t>
            </w:r>
          </w:p>
        </w:tc>
        <w:tc>
          <w:tcPr>
            <w:tcW w:w="1474" w:type="dxa"/>
            <w:vAlign w:val="center"/>
          </w:tcPr>
          <w:p>
            <w:pPr>
              <w:pStyle w:val="17"/>
            </w:pPr>
            <w:r>
              <w:t>23.49</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23.49</w:t>
            </w:r>
          </w:p>
        </w:tc>
        <w:tc>
          <w:tcPr>
            <w:tcW w:w="3402" w:type="dxa"/>
            <w:vAlign w:val="center"/>
          </w:tcPr>
          <w:p>
            <w:pPr>
              <w:pStyle w:val="16"/>
            </w:pPr>
            <w:r>
              <w:t>支出总计</w:t>
            </w:r>
          </w:p>
        </w:tc>
        <w:tc>
          <w:tcPr>
            <w:tcW w:w="1474" w:type="dxa"/>
            <w:vAlign w:val="center"/>
          </w:tcPr>
          <w:p>
            <w:pPr>
              <w:pStyle w:val="17"/>
            </w:pPr>
            <w:r>
              <w:t>23.49</w:t>
            </w:r>
          </w:p>
        </w:tc>
        <w:tc>
          <w:tcPr>
            <w:tcW w:w="1474" w:type="dxa"/>
            <w:vAlign w:val="center"/>
          </w:tcPr>
          <w:p>
            <w:pPr>
              <w:pStyle w:val="17"/>
            </w:pPr>
            <w:r>
              <w:t>23.49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23.49</w:t>
            </w:r>
          </w:p>
        </w:tc>
        <w:tc>
          <w:tcPr>
            <w:tcW w:w="2551" w:type="dxa"/>
            <w:vAlign w:val="center"/>
          </w:tcPr>
          <w:p>
            <w:pPr>
              <w:pStyle w:val="17"/>
            </w:pPr>
            <w:r>
              <w:t>23.49</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18.52</w:t>
            </w:r>
          </w:p>
        </w:tc>
        <w:tc>
          <w:tcPr>
            <w:tcW w:w="2551" w:type="dxa"/>
            <w:vAlign w:val="center"/>
          </w:tcPr>
          <w:p>
            <w:pPr>
              <w:pStyle w:val="13"/>
            </w:pPr>
            <w:r>
              <w:t>18.52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18.52</w:t>
            </w:r>
          </w:p>
        </w:tc>
        <w:tc>
          <w:tcPr>
            <w:tcW w:w="2551" w:type="dxa"/>
            <w:vAlign w:val="center"/>
          </w:tcPr>
          <w:p>
            <w:pPr>
              <w:pStyle w:val="13"/>
            </w:pPr>
            <w:r>
              <w:t>18.52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18.52</w:t>
            </w:r>
          </w:p>
        </w:tc>
        <w:tc>
          <w:tcPr>
            <w:tcW w:w="2551" w:type="dxa"/>
            <w:vAlign w:val="center"/>
          </w:tcPr>
          <w:p>
            <w:pPr>
              <w:pStyle w:val="13"/>
            </w:pPr>
            <w:r>
              <w:t>18.52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2.17</w:t>
            </w:r>
          </w:p>
        </w:tc>
        <w:tc>
          <w:tcPr>
            <w:tcW w:w="2551" w:type="dxa"/>
            <w:vAlign w:val="center"/>
          </w:tcPr>
          <w:p>
            <w:pPr>
              <w:pStyle w:val="13"/>
            </w:pPr>
            <w:r>
              <w:t>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2.17</w:t>
            </w:r>
          </w:p>
        </w:tc>
        <w:tc>
          <w:tcPr>
            <w:tcW w:w="2551" w:type="dxa"/>
            <w:vAlign w:val="center"/>
          </w:tcPr>
          <w:p>
            <w:pPr>
              <w:pStyle w:val="13"/>
            </w:pPr>
            <w:r>
              <w:t>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2.17</w:t>
            </w:r>
          </w:p>
        </w:tc>
        <w:tc>
          <w:tcPr>
            <w:tcW w:w="2551" w:type="dxa"/>
            <w:vAlign w:val="center"/>
          </w:tcPr>
          <w:p>
            <w:pPr>
              <w:pStyle w:val="13"/>
            </w:pPr>
            <w:r>
              <w:t>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1.77</w:t>
            </w:r>
          </w:p>
        </w:tc>
        <w:tc>
          <w:tcPr>
            <w:tcW w:w="2551" w:type="dxa"/>
            <w:vAlign w:val="center"/>
          </w:tcPr>
          <w:p>
            <w:pPr>
              <w:pStyle w:val="13"/>
            </w:pPr>
            <w:r>
              <w:t>1.77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1.77</w:t>
            </w:r>
          </w:p>
        </w:tc>
        <w:tc>
          <w:tcPr>
            <w:tcW w:w="2551" w:type="dxa"/>
            <w:vAlign w:val="center"/>
          </w:tcPr>
          <w:p>
            <w:pPr>
              <w:pStyle w:val="13"/>
            </w:pPr>
            <w:r>
              <w:t>1.77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1.77</w:t>
            </w:r>
          </w:p>
        </w:tc>
        <w:tc>
          <w:tcPr>
            <w:tcW w:w="2551" w:type="dxa"/>
            <w:vAlign w:val="center"/>
          </w:tcPr>
          <w:p>
            <w:pPr>
              <w:pStyle w:val="13"/>
            </w:pPr>
            <w:r>
              <w:t>1.77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23.49</w:t>
            </w:r>
          </w:p>
        </w:tc>
        <w:tc>
          <w:tcPr>
            <w:tcW w:w="2551" w:type="dxa"/>
            <w:vAlign w:val="center"/>
          </w:tcPr>
          <w:p>
            <w:pPr>
              <w:pStyle w:val="17"/>
            </w:pPr>
            <w:r>
              <w:t>20.51</w:t>
            </w:r>
          </w:p>
        </w:tc>
        <w:tc>
          <w:tcPr>
            <w:tcW w:w="2551" w:type="dxa"/>
            <w:vAlign w:val="center"/>
          </w:tcPr>
          <w:p>
            <w:pPr>
              <w:pStyle w:val="17"/>
            </w:pPr>
            <w:r>
              <w:t>2.98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20.51</w:t>
            </w:r>
          </w:p>
        </w:tc>
        <w:tc>
          <w:tcPr>
            <w:tcW w:w="2551" w:type="dxa"/>
            <w:vAlign w:val="center"/>
          </w:tcPr>
          <w:p>
            <w:pPr>
              <w:pStyle w:val="13"/>
            </w:pPr>
            <w:r>
              <w:t>20.51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8.24</w:t>
            </w:r>
          </w:p>
        </w:tc>
        <w:tc>
          <w:tcPr>
            <w:tcW w:w="2551" w:type="dxa"/>
            <w:vAlign w:val="center"/>
          </w:tcPr>
          <w:p>
            <w:pPr>
              <w:pStyle w:val="13"/>
            </w:pPr>
            <w:r>
              <w:t>8.24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2.95</w:t>
            </w:r>
          </w:p>
        </w:tc>
        <w:tc>
          <w:tcPr>
            <w:tcW w:w="2551" w:type="dxa"/>
            <w:vAlign w:val="center"/>
          </w:tcPr>
          <w:p>
            <w:pPr>
              <w:pStyle w:val="13"/>
            </w:pPr>
            <w:r>
              <w:t>2.95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4.29</w:t>
            </w:r>
          </w:p>
        </w:tc>
        <w:tc>
          <w:tcPr>
            <w:tcW w:w="2551" w:type="dxa"/>
            <w:vAlign w:val="center"/>
          </w:tcPr>
          <w:p>
            <w:pPr>
              <w:pStyle w:val="13"/>
            </w:pPr>
            <w:r>
              <w:t>4.29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2.17</w:t>
            </w:r>
          </w:p>
        </w:tc>
        <w:tc>
          <w:tcPr>
            <w:tcW w:w="2551" w:type="dxa"/>
            <w:vAlign w:val="center"/>
          </w:tcPr>
          <w:p>
            <w:pPr>
              <w:pStyle w:val="13"/>
            </w:pPr>
            <w:r>
              <w:t>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1.77</w:t>
            </w:r>
          </w:p>
        </w:tc>
        <w:tc>
          <w:tcPr>
            <w:tcW w:w="2551" w:type="dxa"/>
            <w:vAlign w:val="center"/>
          </w:tcPr>
          <w:p>
            <w:pPr>
              <w:pStyle w:val="13"/>
            </w:pPr>
            <w:r>
              <w:t>1.77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2.98</w:t>
            </w:r>
          </w:p>
        </w:tc>
        <w:tc>
          <w:tcPr>
            <w:tcW w:w="2551" w:type="dxa"/>
            <w:vAlign w:val="center"/>
          </w:tcPr>
          <w:p>
            <w:pPr>
              <w:pStyle w:val="13"/>
            </w:pPr>
          </w:p>
        </w:tc>
        <w:tc>
          <w:tcPr>
            <w:tcW w:w="2551"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中国共产主义青年团深泽县委员会2026年部门预算信息公开情况说明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中国共产主义青年团深泽县委员会2026年部门预算信息公开情况说明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按照《中华人民共和国预算法》、《地方预决算公开操作规程》和《关于进一步推进预算公开工作的实施意见》规定，现将中国共产主义青年团深泽县委员会2026年部门预算公开如下：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(一)领导全县共青团工作，对全县青少年社团组织进行指导和管理。</w:t>
      </w:r>
    </w:p>
    <w:p>
      <w:pPr>
        <w:pStyle w:val="19"/>
      </w:pPr>
      <w:r>
        <w:t>(二)参与制定青少年事业发展规划和青少年工作方针、政策，参与有关青少年法规的实施、监督工作，协助党和政府处理、协商与青少年利益相关的事务。</w:t>
      </w:r>
    </w:p>
    <w:p>
      <w:pPr>
        <w:pStyle w:val="19"/>
      </w:pPr>
      <w:r>
        <w:t>(三)调查青少年思想动态和青年工作状态，研究青少年工作理论和思想教育问题，组织和带领全县团员青年在建设社会主义市场经济的进程中发挥生力军和突击队作用。</w:t>
      </w:r>
    </w:p>
    <w:p>
      <w:pPr>
        <w:pStyle w:val="19"/>
      </w:pPr>
      <w:r>
        <w:t>(四)发挥学校团队组织的作用，与教育部门共同做好学校管理工作。</w:t>
      </w:r>
    </w:p>
    <w:p>
      <w:pPr>
        <w:pStyle w:val="19"/>
      </w:pPr>
      <w:r>
        <w:t>（五）负责组织、指导各级团组织做好团属青年服务事业的发展和管理工作，募集青少年事业发展经费，负责承担实施全县“希望工程”的有关工作。</w:t>
      </w:r>
    </w:p>
    <w:p>
      <w:pPr>
        <w:pStyle w:val="19"/>
      </w:pPr>
      <w:r>
        <w:t>（六）负责全团的组织建设，推荐优秀团员入党，协助党组织管理、选拔和培训团的干部。</w:t>
      </w:r>
    </w:p>
    <w:p>
      <w:pPr>
        <w:pStyle w:val="19"/>
      </w:pPr>
      <w:r>
        <w:t>（七）承担县委、县政府和上级团委交办的有关事项。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中国共产主义青年团深泽县委员会本级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按照预算管理有关规定，目前部门预算的编制实行综合预算管理，即全部收入和支出都反映在预算中。中国共产主义青年团深泽县委员会机关及所属事业单位的收支包含在部门预算中。</w:t>
      </w:r>
    </w:p>
    <w:p>
      <w:pPr>
        <w:pStyle w:val="20"/>
      </w:pPr>
      <w:r>
        <w:t>1、收入说明</w:t>
      </w:r>
    </w:p>
    <w:p>
      <w:pPr>
        <w:pStyle w:val="20"/>
      </w:pPr>
      <w:r>
        <w:t>反映本部门当年全部收入。2026年预算收入23.49万元，其中：一般公共预算收入23.49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国共产主义青年团深泽县委员会年度部门预算中支出预算的总体情况。2026年支出预算23.49万元，其中基本支出23.49万元，包括人员经费20.51万元和日常公用经费2.98万元；项目支出0.00万元，主要为无预算项目支出。；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23.49万元，较2025年预算减少10.67万元，其中：基本支出减少9.67万元，主要为2026年较2025年人员减少一人，故经费减少。项目支出减少1.00万元，主要为项目调整。。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2026年，我部门机关运行经费共计安排2.98万元，主要用于日常维修、办公用房水电费、办公用房取暖费、办公用房物业管理费等日常运行支出。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安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领导全县共青团工作，对全县青少年社团组织进行指导和管理。参与制定青少年事业发展规划和青少年工作方针、政策，参与有关青少年法规的实施、监督工作，协助党和政府处理、协商与青少年利益相关的事务。调查青少年思想动态和青年工作状态，研究青少年工作理论和思想教育问题，组织和带领全县团员青年在建设社会主义市场经济的进程中发挥生力军和突击队作用。发挥学校团队组织的作用，与教育部门共同做好学校管理工作。负责组织、指导各级团组织做好团属青年服务事业的发展和管理工作，募集青少年事业发展经费，负责承担实施全县“希望工程”的有关工作。负责全团的组织建设，推荐优秀团员入党，协助党组织管理、选拔和培训团的干部。承担县委、县政府和上级团委交办的有关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一、加强青少年思想政治引领</w:t>
      </w:r>
    </w:p>
    <w:p>
      <w:pPr>
        <w:pStyle w:val="24"/>
      </w:pPr>
      <w:r>
        <w:t>绩效目标：围绕青年思想动态和青年工作现况，不断加强青少年社会主义核心价值观教育；加强青年统战工作有效利用网络和新媒体加强对青年的宣传力度，加强网络和新媒体正面宣传，用科学理论武装青年，用共同理想感召青年，用核心价值观引领青年，协助县政府教育部门做好中、小学学生的教育管理工作。</w:t>
      </w:r>
    </w:p>
    <w:p>
      <w:pPr>
        <w:pStyle w:val="24"/>
      </w:pPr>
      <w:r>
        <w:t>绩效指标：开展网上“青年大学习”平台主体学习，开展青年讲师团宣传教育活动不少于2场次，广泛开展短视频征集活动，对青少年开展红色爱国教育，增强青少年荣誉感及责任感，实施青年思想引领工程。</w:t>
      </w:r>
    </w:p>
    <w:p>
      <w:pPr>
        <w:pStyle w:val="24"/>
      </w:pPr>
      <w:r>
        <w:t>二、基层团组织建设维护青少年发展权益</w:t>
      </w:r>
    </w:p>
    <w:p>
      <w:pPr>
        <w:pStyle w:val="24"/>
      </w:pPr>
      <w:r>
        <w:t>绩效目标：加强全县团组织及青年组织建设，开展入团、入队仪式，充分运用校外实践基地，对青少年开展红色爱国教育，增强青少年荣誉感及责任感，活力明显提高，预防青少年违法犯罪能力不断提高。</w:t>
      </w:r>
    </w:p>
    <w:p>
      <w:pPr>
        <w:pStyle w:val="24"/>
      </w:pPr>
      <w:r>
        <w:t>绩效指标：实现全县教育团工委覆盖，中学团校建成率100%。</w:t>
      </w:r>
      <w:bookmarkStart w:id="20" w:name="_GoBack"/>
      <w:bookmarkEnd w:id="20"/>
      <w:r>
        <w:t>开展禁毒、防诈骗等预防青少年违法犯罪相关宣传活动，开展防溺水等青春自护演练，防范未成年人犯罪等活动每年不低于6次</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pStyle w:val="25"/>
      </w:pPr>
    </w:p>
    <w:p>
      <w:pPr>
        <w:pStyle w:val="25"/>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0.10</w:t>
            </w:r>
          </w:p>
        </w:tc>
        <w:tc>
          <w:tcPr>
            <w:tcW w:w="964" w:type="dxa"/>
            <w:vAlign w:val="center"/>
          </w:tcPr>
          <w:p>
            <w:pPr>
              <w:pStyle w:val="17"/>
            </w:pPr>
            <w:r>
              <w:t>0.10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中国共产主义青年团深泽县委员会本级小计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0.10</w:t>
            </w:r>
          </w:p>
        </w:tc>
        <w:tc>
          <w:tcPr>
            <w:tcW w:w="964" w:type="dxa"/>
            <w:vAlign w:val="center"/>
          </w:tcPr>
          <w:p>
            <w:pPr>
              <w:pStyle w:val="17"/>
            </w:pPr>
            <w:r>
              <w:t>0.10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1.60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中国共产主义青年团深泽县委员会（含所属单位）上年末固定资产金额为14.72万元（详见下表）。本年度拟购置固定资产总额为0.00万元，已按要求列入政府采购预算，详见政府采购预算表。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712中国共产主义青年团深泽县委员会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19</w:t>
            </w:r>
          </w:p>
        </w:tc>
        <w:tc>
          <w:tcPr>
            <w:tcW w:w="2835" w:type="dxa"/>
            <w:vAlign w:val="center"/>
          </w:tcPr>
          <w:p>
            <w:pPr>
              <w:pStyle w:val="13"/>
            </w:pPr>
            <w:r>
              <w:t>14.72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02FE9AF"/>
    <w:multiLevelType w:val="singleLevel"/>
    <w:tmpl w:val="C02FE9A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1FE6DCA"/>
    <w:rsid w:val="3AAE33A9"/>
    <w:rsid w:val="76A512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paragraph" w:styleId="2">
    <w:name w:val="heading 2"/>
    <w:basedOn w:val="1"/>
    <w:next w:val="1"/>
    <w:semiHidden/>
    <w:unhideWhenUsed/>
    <w:qFormat/>
    <w:uiPriority w:val="9"/>
    <w:pPr>
      <w:keepNext/>
      <w:keepLines/>
      <w:spacing w:before="260" w:beforeLines="0" w:beforeAutospacing="0" w:after="260" w:afterLines="0" w:afterAutospacing="0" w:line="413" w:lineRule="auto"/>
      <w:outlineLvl w:val="1"/>
    </w:pPr>
    <w:rPr>
      <w:rFonts w:ascii="Arial" w:hAnsi="Arial" w:eastAsia="黑体"/>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Words>363</Words>
  <Characters>386</Characters>
  <TotalTime>1</TotalTime>
  <ScaleCrop>false</ScaleCrop>
  <LinksUpToDate>false</LinksUpToDate>
  <CharactersWithSpaces>407</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2026-02-10T16:04:00Z</dcterms:created>
  <dc:creator>Administrator</dc:creator>
  <cp:lastModifiedBy>Administrator</cp:lastModifiedBy>
  <dcterms:modified xsi:type="dcterms:W3CDTF">2026-05-07T07:35:35Z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eyJoZGlkIjoiMDRlZjg0OGY3NzVhNDM2MmM1ZjIzMmQ4ZmEzZDdkYjMiLCJ1c2VySWQiOiI5Njk4ODQ4MzEifQ==</vt:lpwstr>
  </property>
  <property fmtid="{D5CDD505-2E9C-101B-9397-08002B2CF9AE}" pid="3" name="KSOProductBuildVer">
    <vt:lpwstr>2052-10.8.2.6837</vt:lpwstr>
  </property>
  <property fmtid="{D5CDD505-2E9C-101B-9397-08002B2CF9AE}" pid="4" name="ICV">
    <vt:lpwstr>50112708F78B4F1A82D4A4B018068415_12</vt:lpwstr>
  </property>
</Properties>
</file>