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F0FF7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/>
        <w:jc w:val="center"/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lang w:val="en-US" w:eastAsia="zh-CN" w:bidi="ar"/>
        </w:rPr>
        <w:t>深泽县人民政府</w:t>
      </w:r>
    </w:p>
    <w:p w14:paraId="2D600599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/>
        <w:jc w:val="center"/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lang w:val="en-US" w:eastAsia="zh-CN" w:bidi="ar"/>
        </w:rPr>
        <w:t>2026年预算调整方案（草案）</w:t>
      </w:r>
    </w:p>
    <w:p w14:paraId="24FCF0AE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楷体_GB2312" w:hAnsi="楷体_GB2312" w:eastAsia="楷体_GB2312" w:cs="楷体_GB2312"/>
          <w:spacing w:val="-12"/>
          <w:kern w:val="32"/>
          <w:sz w:val="28"/>
          <w:szCs w:val="28"/>
        </w:rPr>
      </w:pPr>
      <w:r>
        <w:rPr>
          <w:rFonts w:hint="eastAsia" w:ascii="楷体_GB2312" w:hAnsi="楷体_GB2312" w:eastAsia="楷体_GB2312" w:cs="楷体_GB2312"/>
          <w:spacing w:val="-12"/>
          <w:kern w:val="32"/>
          <w:sz w:val="28"/>
          <w:szCs w:val="28"/>
        </w:rPr>
        <w:t>——202</w:t>
      </w:r>
      <w:r>
        <w:rPr>
          <w:rFonts w:hint="eastAsia" w:ascii="楷体_GB2312" w:hAnsi="楷体_GB2312" w:eastAsia="楷体_GB2312" w:cs="楷体_GB2312"/>
          <w:spacing w:val="-12"/>
          <w:kern w:val="32"/>
          <w:sz w:val="28"/>
          <w:szCs w:val="28"/>
          <w:lang w:val="en-US" w:eastAsia="zh-CN"/>
        </w:rPr>
        <w:t>6</w:t>
      </w:r>
      <w:r>
        <w:rPr>
          <w:rFonts w:hint="eastAsia" w:ascii="楷体_GB2312" w:hAnsi="楷体_GB2312" w:eastAsia="楷体_GB2312" w:cs="楷体_GB2312"/>
          <w:spacing w:val="-12"/>
          <w:kern w:val="32"/>
          <w:sz w:val="28"/>
          <w:szCs w:val="28"/>
        </w:rPr>
        <w:t>年</w:t>
      </w:r>
      <w:r>
        <w:rPr>
          <w:rFonts w:hint="eastAsia" w:ascii="楷体_GB2312" w:hAnsi="楷体_GB2312" w:eastAsia="楷体_GB2312" w:cs="楷体_GB2312"/>
          <w:spacing w:val="-12"/>
          <w:kern w:val="32"/>
          <w:sz w:val="28"/>
          <w:szCs w:val="28"/>
          <w:lang w:val="en-US" w:eastAsia="zh-CN"/>
        </w:rPr>
        <w:t>9</w:t>
      </w:r>
      <w:r>
        <w:rPr>
          <w:rFonts w:hint="eastAsia" w:ascii="楷体_GB2312" w:hAnsi="楷体_GB2312" w:eastAsia="楷体_GB2312" w:cs="楷体_GB2312"/>
          <w:spacing w:val="-12"/>
          <w:kern w:val="32"/>
          <w:sz w:val="28"/>
          <w:szCs w:val="28"/>
        </w:rPr>
        <w:t>月</w:t>
      </w:r>
      <w:r>
        <w:rPr>
          <w:rFonts w:hint="eastAsia" w:ascii="楷体_GB2312" w:hAnsi="楷体_GB2312" w:eastAsia="楷体_GB2312" w:cs="楷体_GB2312"/>
          <w:spacing w:val="-12"/>
          <w:kern w:val="32"/>
          <w:sz w:val="28"/>
          <w:szCs w:val="28"/>
          <w:lang w:val="en-US" w:eastAsia="zh-CN"/>
        </w:rPr>
        <w:t>24</w:t>
      </w:r>
      <w:r>
        <w:rPr>
          <w:rFonts w:hint="eastAsia" w:ascii="楷体_GB2312" w:hAnsi="楷体_GB2312" w:eastAsia="楷体_GB2312" w:cs="楷体_GB2312"/>
          <w:spacing w:val="-12"/>
          <w:kern w:val="32"/>
          <w:sz w:val="28"/>
          <w:szCs w:val="28"/>
        </w:rPr>
        <w:t>日在深泽县第</w:t>
      </w:r>
      <w:r>
        <w:rPr>
          <w:rFonts w:hint="eastAsia" w:ascii="楷体_GB2312" w:hAnsi="楷体_GB2312" w:eastAsia="楷体_GB2312" w:cs="楷体_GB2312"/>
          <w:spacing w:val="-12"/>
          <w:kern w:val="32"/>
          <w:sz w:val="28"/>
          <w:szCs w:val="28"/>
          <w:lang w:val="en-US" w:eastAsia="zh-CN"/>
        </w:rPr>
        <w:t>十八</w:t>
      </w:r>
      <w:r>
        <w:rPr>
          <w:rFonts w:hint="eastAsia" w:ascii="楷体_GB2312" w:hAnsi="楷体_GB2312" w:eastAsia="楷体_GB2312" w:cs="楷体_GB2312"/>
          <w:spacing w:val="-12"/>
          <w:kern w:val="32"/>
          <w:sz w:val="28"/>
          <w:szCs w:val="28"/>
        </w:rPr>
        <w:t>届人大常委会第</w:t>
      </w:r>
      <w:r>
        <w:rPr>
          <w:rFonts w:hint="eastAsia" w:ascii="楷体_GB2312" w:hAnsi="楷体_GB2312" w:eastAsia="楷体_GB2312" w:cs="楷体_GB2312"/>
          <w:spacing w:val="-12"/>
          <w:kern w:val="32"/>
          <w:sz w:val="28"/>
          <w:szCs w:val="28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spacing w:val="-12"/>
          <w:kern w:val="32"/>
          <w:sz w:val="28"/>
          <w:szCs w:val="28"/>
        </w:rPr>
        <w:t>次会议上</w:t>
      </w:r>
    </w:p>
    <w:p w14:paraId="4EF627CA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楷体_GB2312" w:eastAsia="楷体_GB2312" w:cs="楷体_GB2312"/>
          <w:bCs/>
          <w:kern w:val="2"/>
          <w:sz w:val="28"/>
          <w:szCs w:val="28"/>
        </w:rPr>
      </w:pPr>
      <w:r>
        <w:rPr>
          <w:rFonts w:hint="eastAsia" w:ascii="楷体_GB2312" w:hAnsi="楷体_GB2312" w:eastAsia="楷体_GB2312" w:cs="楷体_GB2312"/>
          <w:sz w:val="28"/>
          <w:szCs w:val="28"/>
        </w:rPr>
        <w:t>深泽县财政局局长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 xml:space="preserve">  崔  擘</w:t>
      </w:r>
    </w:p>
    <w:p w14:paraId="5E0D7A6E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</w:p>
    <w:p w14:paraId="04B9A8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_GB2312" w:hAnsi="仿宋" w:eastAsia="仿宋_GB2312" w:cs="Times New Roman"/>
          <w:color w:val="auto"/>
          <w:sz w:val="32"/>
          <w:szCs w:val="32"/>
        </w:rPr>
      </w:pPr>
      <w:r>
        <w:rPr>
          <w:rFonts w:hint="eastAsia" w:ascii="仿宋_GB2312" w:hAnsi="仿宋" w:eastAsia="仿宋_GB2312" w:cs="Times New Roman"/>
          <w:color w:val="auto"/>
          <w:sz w:val="32"/>
          <w:szCs w:val="32"/>
          <w:lang w:val="en-US" w:eastAsia="zh-CN"/>
        </w:rPr>
        <w:t>主任、各位副主任</w:t>
      </w:r>
      <w:r>
        <w:rPr>
          <w:rFonts w:hint="default" w:ascii="仿宋_GB2312" w:hAnsi="仿宋" w:eastAsia="仿宋_GB2312" w:cs="Times New Roman"/>
          <w:color w:val="auto"/>
          <w:sz w:val="32"/>
          <w:szCs w:val="32"/>
          <w:lang w:eastAsia="zh-CN"/>
        </w:rPr>
        <w:t>，</w:t>
      </w:r>
      <w:bookmarkStart w:id="1" w:name="_GoBack"/>
      <w:bookmarkEnd w:id="1"/>
      <w:r>
        <w:rPr>
          <w:rFonts w:hint="eastAsia" w:ascii="仿宋_GB2312" w:hAnsi="仿宋" w:eastAsia="仿宋_GB2312" w:cs="Times New Roman"/>
          <w:color w:val="auto"/>
          <w:sz w:val="32"/>
          <w:szCs w:val="32"/>
          <w:lang w:val="en-US" w:eastAsia="zh-CN"/>
        </w:rPr>
        <w:t>各位委员：</w:t>
      </w:r>
    </w:p>
    <w:p w14:paraId="104B17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/>
          <w:color w:val="auto"/>
          <w:sz w:val="32"/>
          <w:szCs w:val="32"/>
        </w:rPr>
      </w:pPr>
      <w:r>
        <w:rPr>
          <w:rFonts w:hint="eastAsia" w:ascii="仿宋_GB2312" w:hAnsi="仿宋" w:eastAsia="仿宋_GB2312" w:cs="Times New Roman"/>
          <w:color w:val="auto"/>
          <w:sz w:val="32"/>
          <w:szCs w:val="32"/>
        </w:rPr>
        <w:t>按照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lang w:val="en-US" w:eastAsia="zh-CN"/>
        </w:rPr>
        <w:t>《中华人民共和国预算法》和《河北省预算审查监督条例》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</w:rPr>
        <w:t>等有关规定，现提出202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</w:rPr>
        <w:t>年预算调整方案（草案）如下：</w:t>
      </w:r>
    </w:p>
    <w:p w14:paraId="69C91A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97" w:firstLineChars="218"/>
        <w:textAlignment w:val="auto"/>
        <w:rPr>
          <w:rFonts w:hint="eastAsia"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一、一般公共预算调整方案</w:t>
      </w:r>
    </w:p>
    <w:p w14:paraId="1EFD6A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71" w:firstLineChars="147"/>
        <w:textAlignment w:val="auto"/>
        <w:rPr>
          <w:rFonts w:hint="eastAsia" w:ascii="楷体_GB2312" w:hAnsi="楷体_GB2312" w:eastAsia="楷体_GB2312" w:cs="楷体_GB2312"/>
          <w:b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color w:val="auto"/>
          <w:sz w:val="32"/>
          <w:szCs w:val="32"/>
        </w:rPr>
        <w:t>（一）收入调整情况</w:t>
      </w:r>
    </w:p>
    <w:p w14:paraId="168F65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全年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一般公共预算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总收入调增20157万元，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由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184219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万元调整为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204376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万元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。</w:t>
      </w:r>
    </w:p>
    <w:p w14:paraId="206AE2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" w:eastAsia="仿宋_GB2312"/>
          <w:color w:val="auto"/>
          <w:sz w:val="32"/>
          <w:szCs w:val="32"/>
          <w:highlight w:val="none"/>
          <w:lang w:val="en-US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1.上级补助收入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调增8508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万元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由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102224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万元调整为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110732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万元，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其中：财力性补助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2760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万元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主要来源为均衡性转移支付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农业市民化奖励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产粮大县奖励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等资金；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明确专项用途的项目资金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5748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万元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主要来源为社会保障和就业、医疗卫生、农林水、衔接乡村振兴、资源勘探、道路运输等方面资金。</w:t>
      </w:r>
    </w:p>
    <w:p w14:paraId="0E57B4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2.一般债券转贷收入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调增10200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万元，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由900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万元调整为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11100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万元，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全部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为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2026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年新增政府一般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债务限额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期限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年，其中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37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00万元年利率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为1.99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%，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65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00万元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年利率为1.81%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。</w:t>
      </w:r>
    </w:p>
    <w:p w14:paraId="48C055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3.调入预算稳定调节基金收入调增1449万元，由0万元调整为1449万元。</w:t>
      </w:r>
    </w:p>
    <w:p w14:paraId="64B391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1" w:firstLineChars="200"/>
        <w:textAlignment w:val="auto"/>
        <w:rPr>
          <w:rFonts w:hint="eastAsia" w:ascii="楷体_GB2312" w:hAnsi="楷体_GB2312" w:eastAsia="楷体_GB2312" w:cs="楷体_GB2312"/>
          <w:b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color w:val="auto"/>
          <w:sz w:val="32"/>
          <w:szCs w:val="32"/>
        </w:rPr>
        <w:t>（二）支出调整情况</w:t>
      </w:r>
    </w:p>
    <w:p w14:paraId="544F87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Times New Roman"/>
          <w:color w:val="auto"/>
          <w:kern w:val="2"/>
          <w:sz w:val="32"/>
          <w:szCs w:val="32"/>
          <w:lang w:val="en-US" w:eastAsia="zh-CN" w:bidi="ar-SA"/>
        </w:rPr>
        <w:t>按照以收定支原则，全年一般公共预算总支出调增20157万元，由184219万元调整为204376万元。</w:t>
      </w:r>
    </w:p>
    <w:p w14:paraId="234E4C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Times New Roman"/>
          <w:color w:val="auto"/>
          <w:kern w:val="2"/>
          <w:sz w:val="32"/>
          <w:szCs w:val="32"/>
          <w:lang w:val="en-US" w:eastAsia="zh-CN" w:bidi="ar-SA"/>
        </w:rPr>
        <w:t>其中：一般公共预算支出调增20157万元，由182921万元调整为203078万元。</w:t>
      </w:r>
    </w:p>
    <w:p w14:paraId="6EE536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上级补助资金支出由102224万元调整为110732万元，财力性补助资金</w:t>
      </w:r>
      <w:r>
        <w:rPr>
          <w:rFonts w:hint="eastAsia" w:ascii="仿宋_GB2312" w:hAnsi="仿宋" w:eastAsia="仿宋_GB2312" w:cs="仿宋_GB2312"/>
          <w:color w:val="auto"/>
          <w:kern w:val="2"/>
          <w:sz w:val="32"/>
          <w:szCs w:val="32"/>
          <w:lang w:val="en-US" w:eastAsia="zh-CN" w:bidi="ar"/>
        </w:rPr>
        <w:t>主要用于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实施“八大行动”、大气污染防治等重点领域；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明确专项用途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主要来源为社会保障和就业、医疗卫生、农林水、衔接乡村振兴、资源勘探、道路运输等方面资金。</w:t>
      </w:r>
    </w:p>
    <w:p w14:paraId="3F74C0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一般政府债券资金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支出由900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万元调整为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11100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万元，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主要用于城市更新、市政设施、交通路网、教育等27个一般政府债券项目建设。</w:t>
      </w:r>
    </w:p>
    <w:p w14:paraId="3DE097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调入预算稳定调节基金由0万元调整为1449万元，主要用于重点民生等支出。</w:t>
      </w:r>
    </w:p>
    <w:p w14:paraId="1CCBAB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/>
          <w:color w:val="auto"/>
          <w:sz w:val="32"/>
          <w:szCs w:val="32"/>
        </w:rPr>
      </w:pPr>
      <w:bookmarkStart w:id="0" w:name="_Hlk79965259"/>
      <w:r>
        <w:rPr>
          <w:rFonts w:hint="eastAsia" w:ascii="黑体" w:hAnsi="黑体" w:eastAsia="黑体"/>
          <w:color w:val="auto"/>
          <w:sz w:val="32"/>
          <w:szCs w:val="32"/>
        </w:rPr>
        <w:t>二、政府性基金预算调整方案</w:t>
      </w:r>
    </w:p>
    <w:p w14:paraId="5C3362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71" w:firstLineChars="147"/>
        <w:textAlignment w:val="auto"/>
        <w:rPr>
          <w:rFonts w:hint="eastAsia" w:ascii="楷体_GB2312" w:hAnsi="楷体_GB2312" w:eastAsia="楷体_GB2312" w:cs="楷体_GB2312"/>
          <w:b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color w:val="auto"/>
          <w:sz w:val="32"/>
          <w:szCs w:val="32"/>
        </w:rPr>
        <w:t>（一）收入调整情况</w:t>
      </w:r>
    </w:p>
    <w:p w14:paraId="0A514F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全年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政府性基金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预算总收入调增51073万元,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由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48881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万元调整为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99954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万元。</w:t>
      </w:r>
    </w:p>
    <w:p w14:paraId="41C0D9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</w:rPr>
        <w:t>.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lang w:val="en-US" w:eastAsia="zh-CN"/>
        </w:rPr>
        <w:t>上级补助收入调增7373万元，由355万元调整为7728万元，主要为超长期特别国债等。</w:t>
      </w:r>
    </w:p>
    <w:p w14:paraId="15EBA0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color w:val="auto"/>
          <w:sz w:val="32"/>
          <w:szCs w:val="32"/>
          <w:lang w:val="en-US" w:eastAsia="zh-CN"/>
        </w:rPr>
        <w:t>2.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</w:rPr>
        <w:t>专项债券转贷收入调增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lang w:val="en-US" w:eastAsia="zh-CN"/>
        </w:rPr>
        <w:t>43700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</w:rPr>
        <w:t>万元，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lang w:eastAsia="zh-CN"/>
        </w:rPr>
        <w:t>由0万元调整为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lang w:val="en-US" w:eastAsia="zh-CN"/>
        </w:rPr>
        <w:t>43700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lang w:eastAsia="zh-CN"/>
        </w:rPr>
        <w:t>万元，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lang w:val="en-US" w:eastAsia="zh-CN"/>
        </w:rPr>
        <w:t>全部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</w:rPr>
        <w:t>为202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</w:rPr>
        <w:t>年新增政府专项债务限额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lang w:eastAsia="zh-CN"/>
        </w:rPr>
        <w:t>。</w:t>
      </w:r>
    </w:p>
    <w:p w14:paraId="038A4D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71" w:firstLineChars="147"/>
        <w:textAlignment w:val="auto"/>
        <w:rPr>
          <w:rFonts w:hint="eastAsia" w:ascii="楷体_GB2312" w:hAnsi="楷体_GB2312" w:eastAsia="楷体_GB2312" w:cs="楷体_GB2312"/>
          <w:b/>
          <w:color w:val="auto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/>
          <w:color w:val="auto"/>
          <w:sz w:val="32"/>
          <w:szCs w:val="32"/>
          <w:highlight w:val="none"/>
        </w:rPr>
        <w:t>（二）支出调整情况</w:t>
      </w:r>
    </w:p>
    <w:p w14:paraId="22A3B1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政府性基金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总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支出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调增51073万元，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由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48881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万元调整为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99954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万元。</w:t>
      </w:r>
    </w:p>
    <w:p w14:paraId="24AE45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上级补助收入安排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的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支出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调增7373万元，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由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355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万元调整为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7728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万元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为超长期特别国债（大规模设备更新专项资金）、耕地建设和利用、中央专项彩票公益金（中度以上失能老年人养老服务消费补贴资金、养老服务体系、残疾人事业发展等社会公益事业发展）等。</w:t>
      </w:r>
    </w:p>
    <w:p w14:paraId="2C957E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2.专项债券收入安排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的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支出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调增43700万元，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由0万元调整为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43700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万元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为专项债券项目及解决拖欠企业账款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。</w:t>
      </w:r>
    </w:p>
    <w:p w14:paraId="6AAD88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/>
          <w:color w:val="auto"/>
          <w:sz w:val="32"/>
          <w:szCs w:val="32"/>
        </w:rPr>
        <w:t>、其他需要说明的事项</w:t>
      </w:r>
    </w:p>
    <w:p w14:paraId="53D3DA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按照政府债务和预算审查监督有关要求，另就以下几项内容予以说明: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一是关于地方政府债务限额。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全县地方政府债务限额为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540724.09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万元（其中：一般债务限额9622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4.09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万元、专项债务限额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444500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万元）。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二是关于地方政府债务余额。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全县政府债务余额为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537965万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元，在政府债务限额内（其中：一般债务余额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93465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万元，专项债务余额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444500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万元）。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三是关于县级偿债计划。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2026年</w:t>
      </w:r>
      <w:r>
        <w:rPr>
          <w:rFonts w:hint="eastAsia" w:ascii="仿宋_GB2312" w:hAnsi="仿宋_GB2312" w:eastAsia="仿宋_GB2312" w:cs="仿宋_GB2312"/>
          <w:strike w:val="0"/>
          <w:dstrike w:val="0"/>
          <w:color w:val="auto"/>
          <w:sz w:val="32"/>
          <w:szCs w:val="32"/>
          <w:highlight w:val="none"/>
          <w:u w:val="none"/>
          <w:lang w:val="en-US" w:eastAsia="zh-CN"/>
        </w:rPr>
        <w:t>应偿还政府债券本息15163.45万元，其中本金1000万元（一般债券），利息14163.45万元（一般债券2509.12万元，专项债券11654.33万元）；已按时偿还政府债券本息12655.56万元，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通过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县级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财力偿还</w:t>
      </w:r>
      <w:r>
        <w:rPr>
          <w:rFonts w:hint="eastAsia" w:ascii="仿宋_GB2312" w:hAnsi="仿宋_GB2312" w:eastAsia="仿宋_GB2312" w:cs="仿宋_GB2312"/>
          <w:strike w:val="0"/>
          <w:dstrike w:val="0"/>
          <w:color w:val="auto"/>
          <w:sz w:val="32"/>
          <w:szCs w:val="32"/>
          <w:highlight w:val="none"/>
          <w:u w:val="none"/>
          <w:lang w:val="en-US" w:eastAsia="zh-CN"/>
        </w:rPr>
        <w:t>11755.56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万元，</w:t>
      </w:r>
      <w:r>
        <w:rPr>
          <w:rFonts w:hint="eastAsia" w:ascii="仿宋_GB2312" w:hAnsi="仿宋_GB2312" w:eastAsia="仿宋_GB2312" w:cs="仿宋_GB2312"/>
          <w:strike w:val="0"/>
          <w:dstrike w:val="0"/>
          <w:color w:val="auto"/>
          <w:sz w:val="32"/>
          <w:szCs w:val="32"/>
          <w:highlight w:val="none"/>
          <w:u w:val="none"/>
          <w:lang w:val="en-US" w:eastAsia="zh-CN"/>
        </w:rPr>
        <w:t>再融资偿还900万元。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四是关于政府债务风险。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按照财政部评估方法测算，全县政府债务率约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148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%，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债务风险等级为黄色，债务风险总体可控。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五是调剂资金支出。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为最大发挥财政效益，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根据《财政部关于印发〈预算调剂管理暂行办法〉的通知》（财预〔2024〕112号）有关规定，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调剂支出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28534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万元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主要包括土地征收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成本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8357万元、代缴耕地占用税2557万元、购买城乡建设用地增减挂钩节余指标、粮食产能1107万元、保障房划转涉税853万元，以及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用于民生保障、乡村振兴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重点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领域支出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。</w:t>
      </w:r>
    </w:p>
    <w:p w14:paraId="37FDE8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snapToGrid w:val="0"/>
          <w:color w:val="auto"/>
          <w:kern w:val="0"/>
          <w:sz w:val="32"/>
          <w:szCs w:val="32"/>
          <w:u w:val="none"/>
          <w:lang w:val="en-US" w:eastAsia="zh-CN" w:bidi="ar-SA"/>
        </w:rPr>
        <w:t>以上方案，请予审议。</w:t>
      </w:r>
    </w:p>
    <w:p w14:paraId="70EF77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trike w:val="0"/>
          <w:dstrike w:val="0"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1CEA82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trike w:val="0"/>
          <w:d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trike w:val="0"/>
          <w:dstrike w:val="0"/>
          <w:color w:val="auto"/>
          <w:sz w:val="32"/>
          <w:szCs w:val="32"/>
          <w:highlight w:val="none"/>
          <w:u w:val="none"/>
          <w:lang w:val="en-US" w:eastAsia="zh-CN"/>
        </w:rPr>
        <w:t>附件：1.2026年一般公共预算调整方案（草案）</w:t>
      </w:r>
    </w:p>
    <w:p w14:paraId="484DBC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1600" w:firstLineChars="500"/>
        <w:textAlignment w:val="auto"/>
        <w:rPr>
          <w:rFonts w:hint="eastAsia" w:ascii="仿宋_GB2312" w:hAnsi="仿宋_GB2312" w:eastAsia="仿宋_GB2312" w:cs="仿宋_GB2312"/>
          <w:strike w:val="0"/>
          <w:d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trike w:val="0"/>
          <w:dstrike w:val="0"/>
          <w:color w:val="auto"/>
          <w:sz w:val="32"/>
          <w:szCs w:val="32"/>
          <w:highlight w:val="none"/>
          <w:u w:val="none"/>
          <w:lang w:val="en-US" w:eastAsia="zh-CN"/>
        </w:rPr>
        <w:t>2.2026年政府性基金预算调整方案（草案）</w:t>
      </w:r>
    </w:p>
    <w:bookmarkEnd w:id="0"/>
    <w:p w14:paraId="231B4F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1600" w:firstLineChars="500"/>
        <w:textAlignment w:val="auto"/>
        <w:rPr>
          <w:rFonts w:hint="eastAsia" w:ascii="仿宋_GB2312" w:hAnsi="仿宋_GB2312" w:eastAsia="仿宋_GB2312" w:cs="仿宋_GB2312"/>
          <w:strike w:val="0"/>
          <w:d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trike w:val="0"/>
          <w:dstrike w:val="0"/>
          <w:color w:val="auto"/>
          <w:sz w:val="32"/>
          <w:szCs w:val="32"/>
          <w:highlight w:val="none"/>
          <w:u w:val="none"/>
          <w:lang w:val="en-US" w:eastAsia="zh-CN"/>
        </w:rPr>
        <w:t>3.2026年新增政府债券项目调整方案（草案）</w:t>
      </w:r>
    </w:p>
    <w:p w14:paraId="6046EF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1600" w:firstLineChars="500"/>
        <w:textAlignment w:val="auto"/>
        <w:rPr>
          <w:rFonts w:hint="default" w:ascii="仿宋_GB2312" w:hAnsi="仿宋_GB2312" w:eastAsia="仿宋_GB2312" w:cs="仿宋_GB2312"/>
          <w:strike w:val="0"/>
          <w:d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trike w:val="0"/>
          <w:dstrike w:val="0"/>
          <w:color w:val="auto"/>
          <w:sz w:val="32"/>
          <w:szCs w:val="32"/>
          <w:highlight w:val="none"/>
          <w:u w:val="none"/>
          <w:lang w:val="en-US" w:eastAsia="zh-CN"/>
        </w:rPr>
        <w:t>4.2026年地方政府债务限额调整方案（草案）</w:t>
      </w:r>
    </w:p>
    <w:p w14:paraId="0A06BD7D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</w:p>
    <w:p w14:paraId="765068C5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20" w:lineRule="exact"/>
        <w:ind w:left="0" w:right="0" w:firstLine="640" w:firstLineChars="200"/>
        <w:textAlignment w:val="auto"/>
        <w:rPr>
          <w:rFonts w:hint="eastAsia" w:ascii="仿宋_GB2312" w:hAnsi="Calibri" w:eastAsia="仿宋_GB2312" w:cs="Times New Roman"/>
          <w:color w:val="000000"/>
          <w:w w:val="100"/>
          <w:sz w:val="32"/>
          <w:szCs w:val="32"/>
          <w:lang w:val="en-US" w:eastAsia="zh-CN"/>
        </w:rPr>
      </w:pPr>
    </w:p>
    <w:sectPr>
      <w:footerReference r:id="rId3" w:type="default"/>
      <w:footerReference r:id="rId4" w:type="even"/>
      <w:pgSz w:w="11906" w:h="16838"/>
      <w:pgMar w:top="2098" w:right="1531" w:bottom="1984" w:left="153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HarmonyOS Sans"/>
    <w:panose1 w:val="02020603050405020304"/>
    <w:charset w:val="46"/>
    <w:family w:val="auto"/>
    <w:pitch w:val="default"/>
    <w:sig w:usb0="00000000" w:usb1="00000000" w:usb2="00000009" w:usb3="00000000" w:csb0="400001FF" w:csb1="FFFF0000"/>
  </w:font>
  <w:font w:name="宋体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FTTok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HarmonyOS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Noto Sans CJK SC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HarmonyOS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HarmonyOS Sans">
    <w:panose1 w:val="00000500000000000000"/>
    <w:charset w:val="00"/>
    <w:family w:val="auto"/>
    <w:pitch w:val="default"/>
    <w:sig w:usb0="A0000287" w:usb1="00000011" w:usb2="00000000" w:usb3="00000000" w:csb0="00000001" w:csb1="00000000"/>
  </w:font>
  <w:font w:name="Calibri">
    <w:altName w:val="HarmonyOS Sans"/>
    <w:panose1 w:val="020F0502020204030204"/>
    <w:charset w:val="00"/>
    <w:family w:val="swiss"/>
    <w:pitch w:val="default"/>
    <w:sig w:usb0="00000000" w:usb1="00000000" w:usb2="00000009" w:usb3="00000000" w:csb0="200001FF" w:csb1="00000000"/>
  </w:font>
  <w:font w:name="书宋-简">
    <w:panose1 w:val="00000500000000000000"/>
    <w:charset w:val="86"/>
    <w:family w:val="auto"/>
    <w:pitch w:val="default"/>
    <w:sig w:usb0="A00002BF" w:usb1="18EF7CFA" w:usb2="00000016" w:usb3="00000000" w:csb0="00040001" w:csb1="00000000"/>
  </w:font>
  <w:font w:name="HarmonyOS Sans SC">
    <w:panose1 w:val="00000500000000000000"/>
    <w:charset w:val="86"/>
    <w:family w:val="auto"/>
    <w:pitch w:val="default"/>
    <w:sig w:usb0="A00002BF" w:usb1="18EF7CFA" w:usb2="00000016" w:usb3="00000000" w:csb0="00040001" w:csb1="00000000"/>
  </w:font>
  <w:font w:name="Noto Sans CJK SC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FTToken"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楷体">
    <w:altName w:val="汉仪中楷简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中楷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Cambria">
    <w:altName w:val="Noto Sans Medefaidrin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Noto Sans Medefaidrin">
    <w:panose1 w:val="02020502060505020204"/>
    <w:charset w:val="00"/>
    <w:family w:val="auto"/>
    <w:pitch w:val="default"/>
    <w:sig w:usb0="00000001" w:usb1="02000000" w:usb2="00000000" w:usb3="00000000" w:csb0="00000001" w:csb1="00000000"/>
  </w:font>
  <w:font w:name="仿宋_GB2312">
    <w:altName w:val="HarmonyOS Sans SC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93" w:csb1="00000000"/>
  </w:font>
  <w:font w:name="微软雅黑">
    <w:altName w:val="Noto Sans CJK SC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小标宋简体">
    <w:altName w:val="Noto Serif CJK JP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Noto Serif CJK JP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楷体_GB2312">
    <w:altName w:val="HarmonyOS Sans SC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altName w:val="汉仪仿宋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仿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3DC5E8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4623435</wp:posOffset>
              </wp:positionH>
              <wp:positionV relativeFrom="paragraph">
                <wp:posOffset>-262890</wp:posOffset>
              </wp:positionV>
              <wp:extent cx="992505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9250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D06443">
                          <w:pPr>
                            <w:pStyle w:val="5"/>
                            <w:rPr>
                              <w:rFonts w:hint="eastAsia" w:asciiTheme="minorEastAsia" w:hAnsiTheme="minorEastAsia" w:cstheme="minorEastAsia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44"/>
                            </w:rPr>
                            <w:t xml:space="preserve">  — 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44"/>
                            </w:rPr>
                            <w:t xml:space="preserve"> —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4.05pt;margin-top:-20.7pt;height:144pt;width:78.15pt;mso-position-horizontal-relative:margin;z-index:251659264;mso-width-relative:page;mso-height-relative:page;" filled="f" stroked="f" coordsize="21600,21600" o:gfxdata="UEsDBAoAAAAAAIdO4kAAAAAAAAAAAAAAAAAEAAAAZHJzL1BLAwQUAAAACACHTuJA1Ui0ftkAAAAL&#10;AQAADwAAAGRycy9kb3ducmV2LnhtbE2PwU7DMAyG70i8Q2QkblvSqipVabrDBDvAiW5CHL0mbcqa&#10;pGqybvD0mBPcbPnz78/V5mpHtug5DN5JSNYCmHatV4PrJRz2z6sCWIjoFI7eaQlfOsCmvr2psFT+&#10;4t700sSeUYgLJUowMU4l56E12mJY+0k7mnV+thipnXuuZrxQuB15KkTOLQ6OLhic9Nbo9tScLWm8&#10;vwq7++7Mh33BLjRmv+yePqW8v0vEI7Cor/EPhl992oGanI7+7FRgo4SHtEgIlbDKkgwYEUWRUXGU&#10;kGZ5Dryu+P8f6h9QSwMEFAAAAAgAh07iQH2lKuMyAgAAVgQAAA4AAABkcnMvZTJvRG9jLnhtbK1U&#10;y27TQBTdI/EPo9kTO0Gp0ihOFVoFIVW0UkGsJ+NxbWlezExilw+AP2DFhj3fle/gzNhOUWHRBZvJ&#10;9X2fc+/N6qJTkhyE843RBZ1OckqE5qZs9H1BP37YvlpQ4gPTJZNGi4I+CE8v1i9frFq7FDNTG1kK&#10;R5BE+2VrC1qHYJdZ5nktFPMTY4WGsTJOsYBPd5+VjrXIrmQ2y/OzrDWutM5w4T20V72RDhndcxKa&#10;qmq4uDJ8r4QOfVYnJAuA5OvGerpO3VaV4OGmqrwIRBYUSEN6UQTyLr7ZesWW947ZuuFDC+w5LTzB&#10;pFijUfSU6ooFRvau+SuVargz3lRhwo3KeiCJEaCY5k+4uauZFQkLqPb2RLr/f2n5+8OtI01Z0Bkl&#10;mikM/Pj92/HHr+PPr2QW6WmtX8LrzsIvdG9Mh6UZ9R7KiLqrnIq/wENgB7kPJ3JFFwiH8vx8Ns/n&#10;lHCYpovZYpEn9rPHaOt8eCuMIlEoqMPwEqfscO0DOoHr6BKLabNtpEwDlJq0BT17Pc9TwMmCCKkR&#10;GDH0vUYpdLtuALYz5QNwOdMvhrd826D4NfPhljlsAqDgVsINnkoaFDGDRElt3Jd/6aM/BgQrJS02&#10;q6D+8545QYl8pzG6uIaj4EZhNwp6ry4NlnWKK7Q8iQhwQY5i5Yz6hBPaxCowMc1Rq6BhFC9Dv984&#10;QS42m+SEZbMsXOs7y2PqSJ+3m30AhYnZSEvPxcAW1i0RPpxG3Oc/v5PX49/B+j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DVSLR+2QAAAAsBAAAPAAAAAAAAAAEAIAAAACIAAABkcnMvZG93bnJldi54&#10;bWxQSwECFAAUAAAACACHTuJAfaUq4zICAABWBAAADgAAAAAAAAABACAAAAAo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BD06443">
                    <w:pPr>
                      <w:pStyle w:val="5"/>
                      <w:rPr>
                        <w:rFonts w:hint="eastAsia" w:asciiTheme="minorEastAsia" w:hAnsiTheme="minorEastAsia" w:cstheme="minorEastAsia"/>
                        <w:sz w:val="28"/>
                        <w:szCs w:val="44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44"/>
                      </w:rPr>
                      <w:t xml:space="preserve">  — 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44"/>
                      </w:rPr>
                      <w:t xml:space="preserve"> —  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80E7D8">
    <w:pPr>
      <w:pStyle w:val="5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32385</wp:posOffset>
              </wp:positionH>
              <wp:positionV relativeFrom="paragraph">
                <wp:posOffset>-224790</wp:posOffset>
              </wp:positionV>
              <wp:extent cx="992505" cy="1828800"/>
              <wp:effectExtent l="0" t="0" r="0" b="0"/>
              <wp:wrapNone/>
              <wp:docPr id="1744157613" name="文本框 17441576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9250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2AD455">
                          <w:pPr>
                            <w:pStyle w:val="5"/>
                            <w:rPr>
                              <w:rFonts w:hint="eastAsia" w:asciiTheme="minorEastAsia" w:hAnsiTheme="minorEastAsia" w:cstheme="minorEastAsia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44"/>
                            </w:rPr>
                            <w:t xml:space="preserve">  — 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44"/>
                            </w:rPr>
                            <w:t xml:space="preserve"> —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.55pt;margin-top:-17.7pt;height:144pt;width:78.15pt;mso-position-horizontal-relative:margin;z-index:251660288;mso-width-relative:page;mso-height-relative:page;" filled="f" stroked="f" coordsize="21600,21600" o:gfxdata="UEsDBAoAAAAAAIdO4kAAAAAAAAAAAAAAAAAEAAAAZHJzL1BLAwQUAAAACACHTuJAIvQzp9gAAAAJ&#10;AQAADwAAAGRycy9kb3ducmV2LnhtbE2PMU/DMBCFdyT+g3VIbK2TQCIU4nRA0AEmUoQYr/ElDsTn&#10;KHbTwq/HnWC703v37nvV5mRHsdDsB8cK0nUCgrh1euBewdvuaXUHwgdkjaNjUvBNHjb15UWFpXZH&#10;fqWlCb2IIexLVGBCmEopfWvIol+7iThqnZsthrjOvdQzHmO4HWWWJIW0OHD8YHCiB0PtV3OwEeP9&#10;JbHbn8582GfsfGN2y/bxU6nrqzS5BxHoFP7McMaPN1BHpr07sPZiVJCn0ahgdZPfgjjrRRqHvYIs&#10;zwqQdSX/N6h/AVBLAwQUAAAACACHTuJAySSFsj4CAABoBAAADgAAAGRycy9lMm9Eb2MueG1srVRL&#10;btswEN0X6B0I7mvJTpw4RuTATeCiQNAEcIuuaYqKBPBXko6UHqC9QVfddN9z+Rx9pCwnSLvIoht6&#10;NMOZ4XvzxucXnZLkXjjfGF3Q8SinRGhuykbfFfTTx9WbGSU+MF0yabQo6IPw9GLx+tV5a+diYmoj&#10;S+EIimg/b21B6xDsPMs8r4VifmSs0AhWxikW8OnustKxFtWVzCZ5fpK1xpXWGS68h/eqD9J9RfeS&#10;gqaqGi6uDN8qoUNf1QnJAiD5urGeLtJrq0rwcFNVXgQiCwqkIZ1oAnsTz2xxzuZ3jtm64fsnsJc8&#10;4RkmxRqNpodSVywwsnXNX6VUw53xpgojblTWA0mMAMU4f8bNumZWJCyg2tsD6f7/leUf7m8daUoo&#10;4fT4eDw9PRkfUaKZwuR3P77vfv7e/fpGnsRAWGv9HHlri8zQvTUdkiOR0e/hjDx0lVPxFwgJ4qD7&#10;4UC36ALhcJ6dTab5lBKO0Hg2mc3yNI/sMds6H94Jo0g0CuowzsQyu7/2AR1xdbgSm2mzaqRMI5Wa&#10;tAU9OZrmKeEQQYbUSHx8a7RCt+n2ADamfAAuZ3qpeMtXDZpfMx9umYM2AAXbE25wVNKgidlblNTG&#10;ff2XP97HyBClpIXWCuq/bJkTlMj3GsOMwhwMNxibwdBbdWkg3zH20vJkIsEFOZiVM+ozlmoZuyDE&#10;NEevgobBvAy94rGUXCyX6RLkZ1m41mvLY+lIn7fLbQCFidlIS8/Fni0IMBG+X5ao8Kff6dbjH8Ti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CL0M6fYAAAACQEAAA8AAAAAAAAAAQAgAAAAIgAAAGRy&#10;cy9kb3ducmV2LnhtbFBLAQIUABQAAAAIAIdO4kDJJIWyPgIAAGgEAAAOAAAAAAAAAAEAIAAAACcB&#10;AABkcnMvZTJvRG9jLnhtbFBLBQYAAAAABgAGAFkBAADX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42AD455">
                    <w:pPr>
                      <w:pStyle w:val="5"/>
                      <w:rPr>
                        <w:rFonts w:hint="eastAsia" w:asciiTheme="minorEastAsia" w:hAnsiTheme="minorEastAsia" w:cstheme="minorEastAsia"/>
                        <w:sz w:val="28"/>
                        <w:szCs w:val="44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44"/>
                      </w:rPr>
                      <w:t xml:space="preserve">  — 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44"/>
                      </w:rPr>
                      <w:t xml:space="preserve"> —  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9"/>
  <w:embedSystemFonts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RlMDEwNzI2YWNlODY1NGIyZjNhNWQ2OTEyNmRmNDkifQ=="/>
  </w:docVars>
  <w:rsids>
    <w:rsidRoot w:val="43114FD7"/>
    <w:rsid w:val="00003BD1"/>
    <w:rsid w:val="00061895"/>
    <w:rsid w:val="0008761B"/>
    <w:rsid w:val="000C3857"/>
    <w:rsid w:val="000D3F34"/>
    <w:rsid w:val="000D6F8A"/>
    <w:rsid w:val="00100792"/>
    <w:rsid w:val="001337C0"/>
    <w:rsid w:val="00137D4F"/>
    <w:rsid w:val="001B3ECA"/>
    <w:rsid w:val="001D1850"/>
    <w:rsid w:val="00211450"/>
    <w:rsid w:val="002F0208"/>
    <w:rsid w:val="0032092F"/>
    <w:rsid w:val="00332266"/>
    <w:rsid w:val="00355DC8"/>
    <w:rsid w:val="00386084"/>
    <w:rsid w:val="003B0C44"/>
    <w:rsid w:val="003C1658"/>
    <w:rsid w:val="003C4FE3"/>
    <w:rsid w:val="003F0803"/>
    <w:rsid w:val="004321E1"/>
    <w:rsid w:val="00436A9C"/>
    <w:rsid w:val="00493D69"/>
    <w:rsid w:val="00496CB3"/>
    <w:rsid w:val="004E3082"/>
    <w:rsid w:val="005076FF"/>
    <w:rsid w:val="00531CBE"/>
    <w:rsid w:val="005A57E9"/>
    <w:rsid w:val="005F4224"/>
    <w:rsid w:val="00603800"/>
    <w:rsid w:val="00655829"/>
    <w:rsid w:val="00671CF9"/>
    <w:rsid w:val="00681659"/>
    <w:rsid w:val="00685DC1"/>
    <w:rsid w:val="006D2394"/>
    <w:rsid w:val="0075390C"/>
    <w:rsid w:val="0075654F"/>
    <w:rsid w:val="00790E5C"/>
    <w:rsid w:val="007F308E"/>
    <w:rsid w:val="0080184F"/>
    <w:rsid w:val="008046A5"/>
    <w:rsid w:val="00817636"/>
    <w:rsid w:val="00840041"/>
    <w:rsid w:val="00866E97"/>
    <w:rsid w:val="00867A4C"/>
    <w:rsid w:val="0087756F"/>
    <w:rsid w:val="009338E1"/>
    <w:rsid w:val="00960D77"/>
    <w:rsid w:val="009B0F3A"/>
    <w:rsid w:val="009C50B8"/>
    <w:rsid w:val="009F4205"/>
    <w:rsid w:val="00A160C2"/>
    <w:rsid w:val="00A30938"/>
    <w:rsid w:val="00A3689B"/>
    <w:rsid w:val="00A841F4"/>
    <w:rsid w:val="00B15153"/>
    <w:rsid w:val="00B62634"/>
    <w:rsid w:val="00BD0E0A"/>
    <w:rsid w:val="00C41ED2"/>
    <w:rsid w:val="00C748C9"/>
    <w:rsid w:val="00CB2830"/>
    <w:rsid w:val="00D1195E"/>
    <w:rsid w:val="00DA1384"/>
    <w:rsid w:val="00DC7093"/>
    <w:rsid w:val="00DF1041"/>
    <w:rsid w:val="00E33A91"/>
    <w:rsid w:val="00E42F73"/>
    <w:rsid w:val="00E6266E"/>
    <w:rsid w:val="00E92F15"/>
    <w:rsid w:val="00EB38F3"/>
    <w:rsid w:val="00EB3A03"/>
    <w:rsid w:val="00EB6374"/>
    <w:rsid w:val="00F37C9D"/>
    <w:rsid w:val="00F55D87"/>
    <w:rsid w:val="00F55E05"/>
    <w:rsid w:val="00F57AA3"/>
    <w:rsid w:val="00FB0B10"/>
    <w:rsid w:val="00FB23FA"/>
    <w:rsid w:val="02A714D4"/>
    <w:rsid w:val="02D21E1F"/>
    <w:rsid w:val="05E878B4"/>
    <w:rsid w:val="06380B23"/>
    <w:rsid w:val="06A27A5F"/>
    <w:rsid w:val="06B14ECE"/>
    <w:rsid w:val="085B0678"/>
    <w:rsid w:val="0AA01CBB"/>
    <w:rsid w:val="0EAE795B"/>
    <w:rsid w:val="122D2087"/>
    <w:rsid w:val="168C706B"/>
    <w:rsid w:val="17FA54E9"/>
    <w:rsid w:val="184941EE"/>
    <w:rsid w:val="18904C5F"/>
    <w:rsid w:val="18C60F96"/>
    <w:rsid w:val="18FF0369"/>
    <w:rsid w:val="1C3F71AC"/>
    <w:rsid w:val="1CBD4126"/>
    <w:rsid w:val="1D8B2357"/>
    <w:rsid w:val="1DBE44DB"/>
    <w:rsid w:val="1E571387"/>
    <w:rsid w:val="201509CD"/>
    <w:rsid w:val="20490236"/>
    <w:rsid w:val="23AE73EF"/>
    <w:rsid w:val="252050E2"/>
    <w:rsid w:val="254F2F37"/>
    <w:rsid w:val="28BE6B9E"/>
    <w:rsid w:val="298D2991"/>
    <w:rsid w:val="2A27165A"/>
    <w:rsid w:val="2D4C565C"/>
    <w:rsid w:val="3068383C"/>
    <w:rsid w:val="323E5792"/>
    <w:rsid w:val="34176BC0"/>
    <w:rsid w:val="37E87B8A"/>
    <w:rsid w:val="38730212"/>
    <w:rsid w:val="38E04931"/>
    <w:rsid w:val="38F562A5"/>
    <w:rsid w:val="39186976"/>
    <w:rsid w:val="39FC21BB"/>
    <w:rsid w:val="39FF1CAB"/>
    <w:rsid w:val="3A006208"/>
    <w:rsid w:val="3A7546AE"/>
    <w:rsid w:val="3D343FAC"/>
    <w:rsid w:val="3E1C72D0"/>
    <w:rsid w:val="3E7F740D"/>
    <w:rsid w:val="40A602FF"/>
    <w:rsid w:val="40E439A9"/>
    <w:rsid w:val="40EE6C9E"/>
    <w:rsid w:val="413A6AB4"/>
    <w:rsid w:val="43114FD7"/>
    <w:rsid w:val="432927CE"/>
    <w:rsid w:val="47D31FCF"/>
    <w:rsid w:val="496A52B6"/>
    <w:rsid w:val="4A550984"/>
    <w:rsid w:val="4B073861"/>
    <w:rsid w:val="4B92297F"/>
    <w:rsid w:val="4C9431F3"/>
    <w:rsid w:val="4CE12783"/>
    <w:rsid w:val="4D2026E1"/>
    <w:rsid w:val="4D410A62"/>
    <w:rsid w:val="4D9D260F"/>
    <w:rsid w:val="4E252E37"/>
    <w:rsid w:val="4F624CC1"/>
    <w:rsid w:val="4FBF3F5F"/>
    <w:rsid w:val="50CD073B"/>
    <w:rsid w:val="52232583"/>
    <w:rsid w:val="52880638"/>
    <w:rsid w:val="53A72EDD"/>
    <w:rsid w:val="5735435F"/>
    <w:rsid w:val="5BA43A2C"/>
    <w:rsid w:val="5E343606"/>
    <w:rsid w:val="5EEE30B9"/>
    <w:rsid w:val="5F7F918E"/>
    <w:rsid w:val="61BB33A9"/>
    <w:rsid w:val="635277E1"/>
    <w:rsid w:val="646F57B2"/>
    <w:rsid w:val="64D01861"/>
    <w:rsid w:val="64E13817"/>
    <w:rsid w:val="652D71DA"/>
    <w:rsid w:val="66845055"/>
    <w:rsid w:val="67CC2D3F"/>
    <w:rsid w:val="682E4ACE"/>
    <w:rsid w:val="693D7C58"/>
    <w:rsid w:val="694579CB"/>
    <w:rsid w:val="6A382632"/>
    <w:rsid w:val="6E032E11"/>
    <w:rsid w:val="6EF05887"/>
    <w:rsid w:val="719B1CDE"/>
    <w:rsid w:val="738D5656"/>
    <w:rsid w:val="73CB39B8"/>
    <w:rsid w:val="75FF9F9B"/>
    <w:rsid w:val="76620CE5"/>
    <w:rsid w:val="76852DCA"/>
    <w:rsid w:val="76FFAE25"/>
    <w:rsid w:val="77FF6978"/>
    <w:rsid w:val="7851759A"/>
    <w:rsid w:val="79167E9C"/>
    <w:rsid w:val="7BEE6EAE"/>
    <w:rsid w:val="7C247B22"/>
    <w:rsid w:val="7DE822D8"/>
    <w:rsid w:val="7DF92E9F"/>
    <w:rsid w:val="7E2903E5"/>
    <w:rsid w:val="B7FE799F"/>
    <w:rsid w:val="BB7B81BA"/>
    <w:rsid w:val="CEF3FE4E"/>
    <w:rsid w:val="DFEBA9AD"/>
    <w:rsid w:val="F6D959AE"/>
    <w:rsid w:val="FBBDD6B6"/>
    <w:rsid w:val="FDC71CF6"/>
    <w:rsid w:val="FEDFB7C7"/>
    <w:rsid w:val="FFFCC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suppressAutoHyphens/>
      <w:ind w:firstLine="420" w:firstLineChars="200"/>
    </w:pPr>
    <w:rPr>
      <w:rFonts w:ascii="Calibri" w:hAnsi="Calibri" w:eastAsia="宋体" w:cs="Times New Roman"/>
    </w:rPr>
  </w:style>
  <w:style w:type="paragraph" w:styleId="4">
    <w:name w:val="Body Text"/>
    <w:basedOn w:val="1"/>
    <w:link w:val="22"/>
    <w:unhideWhenUsed/>
    <w:qFormat/>
    <w:uiPriority w:val="0"/>
    <w:pPr>
      <w:spacing w:after="120"/>
    </w:pPr>
    <w:rPr>
      <w:szCs w:val="22"/>
    </w:rPr>
  </w:style>
  <w:style w:type="paragraph" w:styleId="5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Subtitle"/>
    <w:basedOn w:val="1"/>
    <w:next w:val="1"/>
    <w:qFormat/>
    <w:uiPriority w:val="0"/>
    <w:pPr>
      <w:wordWrap w:val="0"/>
      <w:spacing w:after="60"/>
      <w:jc w:val="center"/>
    </w:pPr>
    <w:rPr>
      <w:rFonts w:ascii="Calibri" w:eastAsia="宋体" w:cs="Calibri"/>
      <w:sz w:val="24"/>
    </w:rPr>
  </w:style>
  <w:style w:type="paragraph" w:styleId="8">
    <w:name w:val="footnote text"/>
    <w:qFormat/>
    <w:uiPriority w:val="0"/>
    <w:pPr>
      <w:widowControl w:val="0"/>
      <w:snapToGrid w:val="0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paragraph" w:styleId="9">
    <w:name w:val="toc 2"/>
    <w:basedOn w:val="1"/>
    <w:next w:val="1"/>
    <w:qFormat/>
    <w:uiPriority w:val="0"/>
    <w:pPr>
      <w:spacing w:line="160" w:lineRule="atLeast"/>
      <w:ind w:left="200" w:leftChars="200" w:firstLine="200" w:firstLineChars="200"/>
      <w:jc w:val="center"/>
    </w:pPr>
    <w:rPr>
      <w:rFonts w:ascii="楷体" w:hAnsi="楷体"/>
      <w:bCs/>
      <w:color w:val="000000"/>
      <w:sz w:val="24"/>
      <w:szCs w:val="32"/>
    </w:rPr>
  </w:style>
  <w:style w:type="paragraph" w:styleId="10">
    <w:name w:val="Normal (Web)"/>
    <w:basedOn w:val="1"/>
    <w:qFormat/>
    <w:uiPriority w:val="99"/>
    <w:pPr>
      <w:jc w:val="left"/>
    </w:pPr>
    <w:rPr>
      <w:kern w:val="0"/>
      <w:sz w:val="24"/>
    </w:rPr>
  </w:style>
  <w:style w:type="paragraph" w:styleId="11">
    <w:name w:val="Title"/>
    <w:basedOn w:val="1"/>
    <w:next w:val="12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paragraph" w:customStyle="1" w:styleId="12">
    <w:name w:val="Body Text Indent1"/>
    <w:basedOn w:val="1"/>
    <w:next w:val="7"/>
    <w:qFormat/>
    <w:uiPriority w:val="0"/>
    <w:pPr>
      <w:spacing w:line="500" w:lineRule="exact"/>
      <w:ind w:firstLine="630"/>
    </w:pPr>
    <w:rPr>
      <w:rFonts w:eastAsia="仿宋_GB2312"/>
      <w:sz w:val="28"/>
    </w:rPr>
  </w:style>
  <w:style w:type="paragraph" w:styleId="13">
    <w:name w:val="Body Text First Indent 2"/>
    <w:next w:val="1"/>
    <w:qFormat/>
    <w:uiPriority w:val="0"/>
    <w:pPr>
      <w:spacing w:after="120"/>
      <w:ind w:left="420" w:leftChars="200" w:firstLine="420"/>
    </w:pPr>
    <w:rPr>
      <w:rFonts w:ascii="Times New Roman" w:hAnsi="Times New Roman" w:eastAsia="宋体" w:cs="Times New Roman"/>
      <w:sz w:val="21"/>
      <w:szCs w:val="21"/>
    </w:rPr>
  </w:style>
  <w:style w:type="character" w:styleId="16">
    <w:name w:val="Strong"/>
    <w:qFormat/>
    <w:uiPriority w:val="22"/>
    <w:rPr>
      <w:b/>
    </w:rPr>
  </w:style>
  <w:style w:type="character" w:styleId="17">
    <w:name w:val="page number"/>
    <w:qFormat/>
    <w:uiPriority w:val="0"/>
  </w:style>
  <w:style w:type="character" w:styleId="18">
    <w:name w:val="Hyperlink"/>
    <w:basedOn w:val="15"/>
    <w:qFormat/>
    <w:uiPriority w:val="0"/>
    <w:rPr>
      <w:color w:val="0000FF"/>
      <w:u w:val="single"/>
    </w:rPr>
  </w:style>
  <w:style w:type="paragraph" w:customStyle="1" w:styleId="19">
    <w:name w:val="_Style 1"/>
    <w:next w:val="20"/>
    <w:qFormat/>
    <w:uiPriority w:val="0"/>
    <w:pPr>
      <w:widowControl w:val="0"/>
      <w:jc w:val="both"/>
    </w:pPr>
    <w:rPr>
      <w:rFonts w:ascii="宋体" w:hAnsi="Times New Roman" w:eastAsia="宋体" w:cs="黑体"/>
      <w:kern w:val="2"/>
      <w:sz w:val="32"/>
      <w:szCs w:val="22"/>
      <w:lang w:val="en-US" w:eastAsia="zh-CN" w:bidi="ar-SA"/>
    </w:rPr>
  </w:style>
  <w:style w:type="paragraph" w:customStyle="1" w:styleId="20">
    <w:name w:val="样式1"/>
    <w:basedOn w:val="1"/>
    <w:qFormat/>
    <w:uiPriority w:val="0"/>
    <w:rPr>
      <w:rFonts w:ascii="Times New Roman" w:hAnsi="Times New Roman" w:eastAsia="宋体" w:cs="Times New Roman"/>
      <w:b/>
      <w:color w:val="538135"/>
      <w:sz w:val="28"/>
      <w:lang w:bidi="ar-SA"/>
    </w:rPr>
  </w:style>
  <w:style w:type="paragraph" w:customStyle="1" w:styleId="21">
    <w:name w:val="p0"/>
    <w:basedOn w:val="1"/>
    <w:autoRedefine/>
    <w:qFormat/>
    <w:uiPriority w:val="0"/>
    <w:pPr>
      <w:widowControl/>
    </w:pPr>
    <w:rPr>
      <w:kern w:val="0"/>
      <w:szCs w:val="21"/>
    </w:rPr>
  </w:style>
  <w:style w:type="character" w:customStyle="1" w:styleId="22">
    <w:name w:val="正文文本 字符"/>
    <w:basedOn w:val="15"/>
    <w:link w:val="4"/>
    <w:qFormat/>
    <w:uiPriority w:val="0"/>
    <w:rPr>
      <w:kern w:val="2"/>
      <w:sz w:val="21"/>
      <w:szCs w:val="22"/>
    </w:rPr>
  </w:style>
  <w:style w:type="character" w:customStyle="1" w:styleId="23">
    <w:name w:val="页脚 字符"/>
    <w:basedOn w:val="15"/>
    <w:link w:val="5"/>
    <w:qFormat/>
    <w:uiPriority w:val="0"/>
    <w:rPr>
      <w:kern w:val="2"/>
      <w:sz w:val="18"/>
      <w:szCs w:val="24"/>
    </w:rPr>
  </w:style>
  <w:style w:type="character" w:customStyle="1" w:styleId="24">
    <w:name w:val="NormalCharacter"/>
    <w:autoRedefine/>
    <w:qFormat/>
    <w:uiPriority w:val="0"/>
    <w:rPr>
      <w:rFonts w:ascii="Times New Roman" w:hAnsi="Times New Roman" w:eastAsia="宋体"/>
    </w:rPr>
  </w:style>
  <w:style w:type="paragraph" w:customStyle="1" w:styleId="25">
    <w:name w:val="PlainText"/>
    <w:basedOn w:val="1"/>
    <w:autoRedefine/>
    <w:qFormat/>
    <w:uiPriority w:val="0"/>
    <w:pPr>
      <w:widowControl/>
      <w:textAlignment w:val="baseline"/>
    </w:pPr>
    <w:rPr>
      <w:rFonts w:ascii="宋体" w:hAnsi="Courier New" w:eastAsia="宋体"/>
      <w:szCs w:val="21"/>
    </w:rPr>
  </w:style>
  <w:style w:type="paragraph" w:customStyle="1" w:styleId="26">
    <w:name w:val="Normal Indent1"/>
    <w:basedOn w:val="1"/>
    <w:qFormat/>
    <w:uiPriority w:val="0"/>
    <w:pPr>
      <w:ind w:firstLine="200" w:firstLineChars="200"/>
    </w:pPr>
    <w:rPr>
      <w:rFonts w:ascii="Calibri" w:hAnsi="Calibri" w:eastAsia="宋体" w:cs="Times New Roman"/>
    </w:rPr>
  </w:style>
  <w:style w:type="paragraph" w:styleId="27">
    <w:name w:val="List Paragraph"/>
    <w:basedOn w:val="1"/>
    <w:qFormat/>
    <w:uiPriority w:val="0"/>
    <w:pPr>
      <w:ind w:firstLine="200" w:firstLineChars="200"/>
    </w:pPr>
    <w:rPr>
      <w:rFonts w:ascii="Calibri" w:hAnsi="Calibri" w:eastAsia="宋体" w:cs="Times New Roman"/>
    </w:rPr>
  </w:style>
  <w:style w:type="paragraph" w:customStyle="1" w:styleId="28">
    <w:name w:val="正文文本首行缩进 21"/>
    <w:qFormat/>
    <w:uiPriority w:val="0"/>
    <w:pPr>
      <w:widowControl w:val="0"/>
      <w:ind w:left="200" w:leftChars="200" w:firstLine="20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9">
    <w:name w:val="No Spacing"/>
    <w:qFormat/>
    <w:uiPriority w:val="0"/>
    <w:pPr>
      <w:adjustRightInd w:val="0"/>
      <w:snapToGrid w:val="0"/>
    </w:pPr>
    <w:rPr>
      <w:rFonts w:ascii="Tahoma" w:hAnsi="Tahoma" w:eastAsia="微软雅黑" w:cs="Arial"/>
      <w:sz w:val="22"/>
      <w:szCs w:val="22"/>
      <w:lang w:val="en-US" w:eastAsia="zh-CN" w:bidi="ar-SA"/>
    </w:rPr>
  </w:style>
  <w:style w:type="paragraph" w:customStyle="1" w:styleId="30">
    <w:name w:val="表格"/>
    <w:next w:val="1"/>
    <w:qFormat/>
    <w:uiPriority w:val="99"/>
    <w:pPr>
      <w:spacing w:line="360" w:lineRule="auto"/>
      <w:jc w:val="center"/>
    </w:pPr>
    <w:rPr>
      <w:rFonts w:ascii="宋体" w:hAnsi="宋体" w:eastAsia="Times New Roman" w:cs="Times New Roman"/>
      <w:kern w:val="2"/>
      <w:sz w:val="21"/>
      <w:szCs w:val="21"/>
      <w:lang w:val="en-US" w:eastAsia="zh-CN" w:bidi="ar-SA"/>
    </w:rPr>
  </w:style>
  <w:style w:type="paragraph" w:customStyle="1" w:styleId="31">
    <w:name w:val="Body Text First Indent 2"/>
    <w:basedOn w:val="12"/>
    <w:qFormat/>
    <w:uiPriority w:val="0"/>
    <w:pPr>
      <w:widowControl w:val="0"/>
      <w:spacing w:line="500" w:lineRule="exact"/>
      <w:ind w:firstLine="420"/>
      <w:jc w:val="both"/>
    </w:pPr>
    <w:rPr>
      <w:rFonts w:ascii="Calibri" w:hAnsi="Calibri" w:eastAsia="仿宋_GB2312" w:cs="Times New Roman"/>
      <w:kern w:val="2"/>
      <w:sz w:val="28"/>
      <w:szCs w:val="24"/>
      <w:lang w:val="en-US" w:eastAsia="zh-CN"/>
    </w:rPr>
  </w:style>
  <w:style w:type="character" w:customStyle="1" w:styleId="32">
    <w:name w:val="15"/>
    <w:basedOn w:val="15"/>
    <w:qFormat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1516</Words>
  <Characters>1832</Characters>
  <Lines>1</Lines>
  <Paragraphs>1</Paragraphs>
  <TotalTime>0</TotalTime>
  <ScaleCrop>false</ScaleCrop>
  <LinksUpToDate>false</LinksUpToDate>
  <CharactersWithSpaces>1844</CharactersWithSpaces>
  <Application>WPS Office_12.9.0.28440_F1E327BC-269C-435d-A152-05C5408002CA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2024-08-15T17:24:00Z</dcterms:created>
  <dc:creator>Administrator</dc:creator>
  <cp:lastModifiedBy>136******67</cp:lastModifiedBy>
  <cp:lastPrinted>2026-09-07T14:49:00Z</cp:lastPrinted>
  <dcterms:modified xsi:type="dcterms:W3CDTF">2026-09-22T11:48:05Z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2052-12.9.0.28440</vt:lpwstr>
  </property>
  <property fmtid="{D5CDD505-2E9C-101B-9397-08002B2CF9AE}" pid="3" name="ICV">
    <vt:lpwstr>89AD208815EF4C24942DC78014D29AF3_13</vt:lpwstr>
  </property>
  <property fmtid="{D5CDD505-2E9C-101B-9397-08002B2CF9AE}" pid="4" name="KSOTemplateDocerSaveRecord">
    <vt:lpwstr>eyJoZGlkIjoiNWM1MjU2ZTBiYWMwZmE5YWU0YjkzN2ZjYmM3YjllZWMiLCJ1c2VySWQiOiIyNzIxNDUxNzgifQ==</vt:lpwstr>
  </property>
</Properties>
</file>